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67D6F">
        <w:trPr>
          <w:tblCellSpacing w:w="60" w:type="dxa"/>
        </w:trPr>
        <w:tc>
          <w:tcPr>
            <w:tcW w:w="1200" w:type="pct"/>
            <w:shd w:val="clear" w:color="auto" w:fill="E7F0F9"/>
          </w:tcPr>
          <w:p w:rsidR="00367D6F" w:rsidRDefault="006D29F0">
            <w:pPr>
              <w:spacing w:after="0" w:line="240" w:lineRule="auto"/>
            </w:pPr>
            <w:bookmarkStart w:id="0" w:name="_GoBack"/>
            <w:bookmarkEnd w:id="0"/>
            <w:r>
              <w:rPr>
                <w:b/>
              </w:rPr>
              <w:t>RKP broj</w:t>
            </w:r>
          </w:p>
        </w:tc>
        <w:tc>
          <w:tcPr>
            <w:tcW w:w="0" w:type="auto"/>
            <w:shd w:val="clear" w:color="auto" w:fill="E7F0F9"/>
          </w:tcPr>
          <w:p w:rsidR="00367D6F" w:rsidRDefault="006D29F0">
            <w:pPr>
              <w:spacing w:after="0" w:line="240" w:lineRule="auto"/>
            </w:pPr>
            <w:r>
              <w:t>11349</w:t>
            </w:r>
          </w:p>
        </w:tc>
      </w:tr>
      <w:tr w:rsidR="00367D6F">
        <w:trPr>
          <w:tblCellSpacing w:w="60" w:type="dxa"/>
        </w:trPr>
        <w:tc>
          <w:tcPr>
            <w:tcW w:w="1200" w:type="pct"/>
            <w:shd w:val="clear" w:color="auto" w:fill="E7F0F9"/>
          </w:tcPr>
          <w:p w:rsidR="00367D6F" w:rsidRDefault="006D29F0">
            <w:pPr>
              <w:spacing w:after="0" w:line="240" w:lineRule="auto"/>
            </w:pPr>
            <w:r>
              <w:rPr>
                <w:b/>
              </w:rPr>
              <w:t>Naziv obveznika</w:t>
            </w:r>
          </w:p>
        </w:tc>
        <w:tc>
          <w:tcPr>
            <w:tcW w:w="0" w:type="auto"/>
            <w:shd w:val="clear" w:color="auto" w:fill="E7F0F9"/>
          </w:tcPr>
          <w:p w:rsidR="00367D6F" w:rsidRDefault="006D29F0">
            <w:pPr>
              <w:spacing w:after="0" w:line="240" w:lineRule="auto"/>
            </w:pPr>
            <w:r>
              <w:t>OSNOVNA ŠKOLA TRSAT</w:t>
            </w:r>
          </w:p>
        </w:tc>
      </w:tr>
      <w:tr w:rsidR="00367D6F">
        <w:trPr>
          <w:tblCellSpacing w:w="60" w:type="dxa"/>
        </w:trPr>
        <w:tc>
          <w:tcPr>
            <w:tcW w:w="1200" w:type="pct"/>
            <w:shd w:val="clear" w:color="auto" w:fill="E7F0F9"/>
          </w:tcPr>
          <w:p w:rsidR="00367D6F" w:rsidRDefault="006D29F0">
            <w:pPr>
              <w:spacing w:after="0" w:line="240" w:lineRule="auto"/>
            </w:pPr>
            <w:r>
              <w:rPr>
                <w:b/>
              </w:rPr>
              <w:t>Razina</w:t>
            </w:r>
          </w:p>
        </w:tc>
        <w:tc>
          <w:tcPr>
            <w:tcW w:w="0" w:type="auto"/>
            <w:shd w:val="clear" w:color="auto" w:fill="E7F0F9"/>
          </w:tcPr>
          <w:p w:rsidR="00367D6F" w:rsidRDefault="006D29F0">
            <w:pPr>
              <w:spacing w:after="0" w:line="240" w:lineRule="auto"/>
            </w:pPr>
            <w:r>
              <w:t>31</w:t>
            </w:r>
          </w:p>
        </w:tc>
      </w:tr>
    </w:tbl>
    <w:p w:rsidR="00367D6F" w:rsidRDefault="006D29F0">
      <w:r>
        <w:br/>
      </w:r>
    </w:p>
    <w:p w:rsidR="00367D6F" w:rsidRDefault="006D29F0">
      <w:pPr>
        <w:spacing w:line="240" w:lineRule="auto"/>
        <w:jc w:val="center"/>
      </w:pPr>
      <w:r>
        <w:rPr>
          <w:b/>
          <w:sz w:val="28"/>
        </w:rPr>
        <w:t>BILJEŠKE UZ FINANCIJSKE IZVJEŠTAJE</w:t>
      </w:r>
    </w:p>
    <w:p w:rsidR="00367D6F" w:rsidRDefault="006D29F0">
      <w:pPr>
        <w:spacing w:line="240" w:lineRule="auto"/>
        <w:jc w:val="center"/>
      </w:pPr>
      <w:r>
        <w:rPr>
          <w:b/>
          <w:sz w:val="28"/>
        </w:rPr>
        <w:t>ZA RAZDOBLJE</w:t>
      </w:r>
    </w:p>
    <w:p w:rsidR="00367D6F" w:rsidRDefault="006D29F0">
      <w:pPr>
        <w:spacing w:line="240" w:lineRule="auto"/>
        <w:jc w:val="center"/>
      </w:pPr>
      <w:r>
        <w:rPr>
          <w:b/>
          <w:sz w:val="28"/>
        </w:rPr>
        <w:t>I - XII 2025.</w:t>
      </w:r>
    </w:p>
    <w:p w:rsidR="00367D6F" w:rsidRDefault="00367D6F"/>
    <w:p w:rsidR="00367D6F" w:rsidRDefault="006D29F0">
      <w:pPr>
        <w:keepNext/>
        <w:spacing w:line="240" w:lineRule="auto"/>
        <w:jc w:val="center"/>
      </w:pPr>
      <w:r>
        <w:rPr>
          <w:b/>
          <w:sz w:val="28"/>
        </w:rPr>
        <w:t>Izvještaj o prihodima i rashodima, primicima i izdacima</w:t>
      </w:r>
    </w:p>
    <w:p w:rsidR="00367D6F" w:rsidRDefault="006D29F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6</w:t>
            </w:r>
          </w:p>
        </w:tc>
        <w:tc>
          <w:tcPr>
            <w:tcW w:w="3180" w:type="dxa"/>
            <w:tcMar>
              <w:top w:w="0" w:type="dxa"/>
              <w:bottom w:w="0" w:type="dxa"/>
            </w:tcMar>
            <w:vAlign w:val="center"/>
          </w:tcPr>
          <w:p w:rsidR="00367D6F" w:rsidRDefault="006D29F0">
            <w:pPr>
              <w:keepNext/>
              <w:keepLines/>
              <w:spacing w:after="0" w:line="240" w:lineRule="auto"/>
            </w:pPr>
            <w:r>
              <w:rPr>
                <w:sz w:val="18"/>
              </w:rPr>
              <w:t>PRIHODI POSLOVANJA (šifre 61+62+63+64+65+66+67+68)</w:t>
            </w:r>
          </w:p>
        </w:tc>
        <w:tc>
          <w:tcPr>
            <w:tcW w:w="700" w:type="dxa"/>
            <w:tcMar>
              <w:top w:w="0" w:type="dxa"/>
              <w:bottom w:w="0" w:type="dxa"/>
            </w:tcMar>
            <w:vAlign w:val="center"/>
          </w:tcPr>
          <w:p w:rsidR="00367D6F" w:rsidRDefault="006D29F0">
            <w:pPr>
              <w:keepNext/>
              <w:keepLines/>
              <w:spacing w:after="0" w:line="240" w:lineRule="auto"/>
            </w:pPr>
            <w:r>
              <w:rPr>
                <w:sz w:val="18"/>
              </w:rPr>
              <w:t>6</w:t>
            </w:r>
          </w:p>
        </w:tc>
        <w:tc>
          <w:tcPr>
            <w:tcW w:w="1860" w:type="dxa"/>
            <w:tcMar>
              <w:top w:w="0" w:type="dxa"/>
              <w:bottom w:w="0" w:type="dxa"/>
            </w:tcMar>
            <w:vAlign w:val="center"/>
          </w:tcPr>
          <w:p w:rsidR="00367D6F" w:rsidRDefault="006D29F0">
            <w:pPr>
              <w:keepNext/>
              <w:keepLines/>
              <w:spacing w:after="0" w:line="240" w:lineRule="auto"/>
              <w:jc w:val="right"/>
            </w:pPr>
            <w:r>
              <w:rPr>
                <w:sz w:val="18"/>
              </w:rPr>
              <w:t>1.189.589,23</w:t>
            </w:r>
          </w:p>
        </w:tc>
        <w:tc>
          <w:tcPr>
            <w:tcW w:w="1860" w:type="dxa"/>
            <w:tcMar>
              <w:top w:w="0" w:type="dxa"/>
              <w:bottom w:w="0" w:type="dxa"/>
            </w:tcMar>
            <w:vAlign w:val="center"/>
          </w:tcPr>
          <w:p w:rsidR="00367D6F" w:rsidRDefault="006D29F0">
            <w:pPr>
              <w:keepNext/>
              <w:keepLines/>
              <w:spacing w:after="0" w:line="240" w:lineRule="auto"/>
              <w:jc w:val="right"/>
            </w:pPr>
            <w:r>
              <w:rPr>
                <w:sz w:val="18"/>
              </w:rPr>
              <w:t>1.389.197,19</w:t>
            </w:r>
          </w:p>
        </w:tc>
        <w:tc>
          <w:tcPr>
            <w:tcW w:w="700" w:type="dxa"/>
            <w:tcMar>
              <w:top w:w="0" w:type="dxa"/>
              <w:bottom w:w="0" w:type="dxa"/>
            </w:tcMar>
            <w:vAlign w:val="center"/>
          </w:tcPr>
          <w:p w:rsidR="00367D6F" w:rsidRDefault="006D29F0">
            <w:pPr>
              <w:keepNext/>
              <w:keepLines/>
              <w:spacing w:after="0" w:line="240" w:lineRule="auto"/>
              <w:jc w:val="right"/>
            </w:pPr>
            <w:r>
              <w:rPr>
                <w:sz w:val="18"/>
              </w:rPr>
              <w:t>116,8</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w:t>
            </w:r>
          </w:p>
        </w:tc>
        <w:tc>
          <w:tcPr>
            <w:tcW w:w="3180" w:type="dxa"/>
            <w:tcMar>
              <w:top w:w="0" w:type="dxa"/>
              <w:bottom w:w="0" w:type="dxa"/>
            </w:tcMar>
            <w:vAlign w:val="center"/>
          </w:tcPr>
          <w:p w:rsidR="00367D6F" w:rsidRDefault="006D29F0">
            <w:pPr>
              <w:keepNext/>
              <w:keepLines/>
              <w:spacing w:after="0" w:line="240" w:lineRule="auto"/>
            </w:pPr>
            <w:r>
              <w:rPr>
                <w:sz w:val="18"/>
              </w:rPr>
              <w:t>RASHODI POSLOVANJA (šifre 31+32+34+35+36+37+38)</w:t>
            </w:r>
          </w:p>
        </w:tc>
        <w:tc>
          <w:tcPr>
            <w:tcW w:w="700" w:type="dxa"/>
            <w:tcMar>
              <w:top w:w="0" w:type="dxa"/>
              <w:bottom w:w="0" w:type="dxa"/>
            </w:tcMar>
            <w:vAlign w:val="center"/>
          </w:tcPr>
          <w:p w:rsidR="00367D6F" w:rsidRDefault="006D29F0">
            <w:pPr>
              <w:keepNext/>
              <w:keepLines/>
              <w:spacing w:after="0" w:line="240" w:lineRule="auto"/>
            </w:pPr>
            <w:r>
              <w:rPr>
                <w:sz w:val="18"/>
              </w:rPr>
              <w:t>3</w:t>
            </w:r>
          </w:p>
        </w:tc>
        <w:tc>
          <w:tcPr>
            <w:tcW w:w="1860" w:type="dxa"/>
            <w:tcMar>
              <w:top w:w="0" w:type="dxa"/>
              <w:bottom w:w="0" w:type="dxa"/>
            </w:tcMar>
            <w:vAlign w:val="center"/>
          </w:tcPr>
          <w:p w:rsidR="00367D6F" w:rsidRDefault="006D29F0">
            <w:pPr>
              <w:keepNext/>
              <w:keepLines/>
              <w:spacing w:after="0" w:line="240" w:lineRule="auto"/>
              <w:jc w:val="right"/>
            </w:pPr>
            <w:r>
              <w:rPr>
                <w:sz w:val="18"/>
              </w:rPr>
              <w:t>1.200.138,21</w:t>
            </w:r>
          </w:p>
        </w:tc>
        <w:tc>
          <w:tcPr>
            <w:tcW w:w="1860" w:type="dxa"/>
            <w:tcMar>
              <w:top w:w="0" w:type="dxa"/>
              <w:bottom w:w="0" w:type="dxa"/>
            </w:tcMar>
            <w:vAlign w:val="center"/>
          </w:tcPr>
          <w:p w:rsidR="00367D6F" w:rsidRDefault="006D29F0">
            <w:pPr>
              <w:keepNext/>
              <w:keepLines/>
              <w:spacing w:after="0" w:line="240" w:lineRule="auto"/>
              <w:jc w:val="right"/>
            </w:pPr>
            <w:r>
              <w:rPr>
                <w:sz w:val="18"/>
              </w:rPr>
              <w:t>1.466.698,24</w:t>
            </w:r>
          </w:p>
        </w:tc>
        <w:tc>
          <w:tcPr>
            <w:tcW w:w="700" w:type="dxa"/>
            <w:tcMar>
              <w:top w:w="0" w:type="dxa"/>
              <w:bottom w:w="0" w:type="dxa"/>
            </w:tcMar>
            <w:vAlign w:val="center"/>
          </w:tcPr>
          <w:p w:rsidR="00367D6F" w:rsidRDefault="006D29F0">
            <w:pPr>
              <w:keepNext/>
              <w:keepLines/>
              <w:spacing w:after="0" w:line="240" w:lineRule="auto"/>
              <w:jc w:val="right"/>
            </w:pPr>
            <w:r>
              <w:rPr>
                <w:sz w:val="18"/>
              </w:rPr>
              <w:t>122,2</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b/>
                <w:sz w:val="18"/>
              </w:rPr>
              <w:t>MANJAK PRIHODA POSLOVANJA (šifre Z005-6)</w:t>
            </w:r>
          </w:p>
        </w:tc>
        <w:tc>
          <w:tcPr>
            <w:tcW w:w="700" w:type="dxa"/>
            <w:tcMar>
              <w:top w:w="0" w:type="dxa"/>
              <w:bottom w:w="0" w:type="dxa"/>
            </w:tcMar>
            <w:vAlign w:val="center"/>
          </w:tcPr>
          <w:p w:rsidR="00367D6F" w:rsidRDefault="006D29F0">
            <w:pPr>
              <w:keepNext/>
              <w:keepLines/>
              <w:spacing w:after="0" w:line="240" w:lineRule="auto"/>
            </w:pPr>
            <w:r>
              <w:rPr>
                <w:b/>
                <w:sz w:val="18"/>
              </w:rPr>
              <w:t>Y001</w:t>
            </w:r>
          </w:p>
        </w:tc>
        <w:tc>
          <w:tcPr>
            <w:tcW w:w="1860" w:type="dxa"/>
            <w:tcMar>
              <w:top w:w="0" w:type="dxa"/>
              <w:bottom w:w="0" w:type="dxa"/>
            </w:tcMar>
            <w:vAlign w:val="center"/>
          </w:tcPr>
          <w:p w:rsidR="00367D6F" w:rsidRDefault="006D29F0">
            <w:pPr>
              <w:keepNext/>
              <w:keepLines/>
              <w:spacing w:after="0" w:line="240" w:lineRule="auto"/>
              <w:jc w:val="right"/>
            </w:pPr>
            <w:r>
              <w:rPr>
                <w:b/>
                <w:sz w:val="18"/>
              </w:rPr>
              <w:t>10.548,98</w:t>
            </w:r>
          </w:p>
        </w:tc>
        <w:tc>
          <w:tcPr>
            <w:tcW w:w="1860" w:type="dxa"/>
            <w:tcMar>
              <w:top w:w="0" w:type="dxa"/>
              <w:bottom w:w="0" w:type="dxa"/>
            </w:tcMar>
            <w:vAlign w:val="center"/>
          </w:tcPr>
          <w:p w:rsidR="00367D6F" w:rsidRDefault="006D29F0">
            <w:pPr>
              <w:keepNext/>
              <w:keepLines/>
              <w:spacing w:after="0" w:line="240" w:lineRule="auto"/>
              <w:jc w:val="right"/>
            </w:pPr>
            <w:r>
              <w:rPr>
                <w:b/>
                <w:sz w:val="18"/>
              </w:rPr>
              <w:t>77.501,05</w:t>
            </w:r>
          </w:p>
        </w:tc>
        <w:tc>
          <w:tcPr>
            <w:tcW w:w="700" w:type="dxa"/>
            <w:tcMar>
              <w:top w:w="0" w:type="dxa"/>
              <w:bottom w:w="0" w:type="dxa"/>
            </w:tcMar>
            <w:vAlign w:val="center"/>
          </w:tcPr>
          <w:p w:rsidR="00367D6F" w:rsidRDefault="006D29F0">
            <w:pPr>
              <w:keepNext/>
              <w:keepLines/>
              <w:spacing w:after="0" w:line="240" w:lineRule="auto"/>
              <w:jc w:val="right"/>
            </w:pPr>
            <w:r>
              <w:rPr>
                <w:b/>
                <w:sz w:val="18"/>
              </w:rPr>
              <w:t>734,7</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7</w:t>
            </w:r>
          </w:p>
        </w:tc>
        <w:tc>
          <w:tcPr>
            <w:tcW w:w="3180" w:type="dxa"/>
            <w:tcMar>
              <w:top w:w="0" w:type="dxa"/>
              <w:bottom w:w="0" w:type="dxa"/>
            </w:tcMar>
            <w:vAlign w:val="center"/>
          </w:tcPr>
          <w:p w:rsidR="00367D6F" w:rsidRDefault="006D29F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67D6F" w:rsidRDefault="006D29F0">
            <w:pPr>
              <w:keepNext/>
              <w:keepLines/>
              <w:spacing w:after="0" w:line="240" w:lineRule="auto"/>
            </w:pPr>
            <w:r>
              <w:rPr>
                <w:sz w:val="18"/>
              </w:rPr>
              <w:t>7</w:t>
            </w:r>
          </w:p>
        </w:tc>
        <w:tc>
          <w:tcPr>
            <w:tcW w:w="1860" w:type="dxa"/>
            <w:tcMar>
              <w:top w:w="0" w:type="dxa"/>
              <w:bottom w:w="0" w:type="dxa"/>
            </w:tcMar>
            <w:vAlign w:val="center"/>
          </w:tcPr>
          <w:p w:rsidR="00367D6F" w:rsidRDefault="006D29F0">
            <w:pPr>
              <w:keepNext/>
              <w:keepLines/>
              <w:spacing w:after="0" w:line="240" w:lineRule="auto"/>
              <w:jc w:val="right"/>
            </w:pPr>
            <w:r>
              <w:rPr>
                <w:sz w:val="18"/>
              </w:rPr>
              <w:t>61,32</w:t>
            </w:r>
          </w:p>
        </w:tc>
        <w:tc>
          <w:tcPr>
            <w:tcW w:w="1860" w:type="dxa"/>
            <w:tcMar>
              <w:top w:w="0" w:type="dxa"/>
              <w:bottom w:w="0" w:type="dxa"/>
            </w:tcMar>
            <w:vAlign w:val="center"/>
          </w:tcPr>
          <w:p w:rsidR="00367D6F" w:rsidRDefault="006D29F0">
            <w:pPr>
              <w:keepNext/>
              <w:keepLines/>
              <w:spacing w:after="0" w:line="240" w:lineRule="auto"/>
              <w:jc w:val="right"/>
            </w:pPr>
            <w:r>
              <w:rPr>
                <w:sz w:val="18"/>
              </w:rPr>
              <w:t>78,74</w:t>
            </w:r>
          </w:p>
        </w:tc>
        <w:tc>
          <w:tcPr>
            <w:tcW w:w="700" w:type="dxa"/>
            <w:tcMar>
              <w:top w:w="0" w:type="dxa"/>
              <w:bottom w:w="0" w:type="dxa"/>
            </w:tcMar>
            <w:vAlign w:val="center"/>
          </w:tcPr>
          <w:p w:rsidR="00367D6F" w:rsidRDefault="006D29F0">
            <w:pPr>
              <w:keepNext/>
              <w:keepLines/>
              <w:spacing w:after="0" w:line="240" w:lineRule="auto"/>
              <w:jc w:val="right"/>
            </w:pPr>
            <w:r>
              <w:rPr>
                <w:sz w:val="18"/>
              </w:rPr>
              <w:t>128,4</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4</w:t>
            </w:r>
          </w:p>
        </w:tc>
        <w:tc>
          <w:tcPr>
            <w:tcW w:w="3180" w:type="dxa"/>
            <w:tcMar>
              <w:top w:w="0" w:type="dxa"/>
              <w:bottom w:w="0" w:type="dxa"/>
            </w:tcMar>
            <w:vAlign w:val="center"/>
          </w:tcPr>
          <w:p w:rsidR="00367D6F" w:rsidRDefault="006D29F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67D6F" w:rsidRDefault="006D29F0">
            <w:pPr>
              <w:keepNext/>
              <w:keepLines/>
              <w:spacing w:after="0" w:line="240" w:lineRule="auto"/>
            </w:pPr>
            <w:r>
              <w:rPr>
                <w:sz w:val="18"/>
              </w:rPr>
              <w:t>4</w:t>
            </w:r>
          </w:p>
        </w:tc>
        <w:tc>
          <w:tcPr>
            <w:tcW w:w="1860" w:type="dxa"/>
            <w:tcMar>
              <w:top w:w="0" w:type="dxa"/>
              <w:bottom w:w="0" w:type="dxa"/>
            </w:tcMar>
            <w:vAlign w:val="center"/>
          </w:tcPr>
          <w:p w:rsidR="00367D6F" w:rsidRDefault="006D29F0">
            <w:pPr>
              <w:keepNext/>
              <w:keepLines/>
              <w:spacing w:after="0" w:line="240" w:lineRule="auto"/>
              <w:jc w:val="right"/>
            </w:pPr>
            <w:r>
              <w:rPr>
                <w:sz w:val="18"/>
              </w:rPr>
              <w:t>5.370,26</w:t>
            </w:r>
          </w:p>
        </w:tc>
        <w:tc>
          <w:tcPr>
            <w:tcW w:w="1860" w:type="dxa"/>
            <w:tcMar>
              <w:top w:w="0" w:type="dxa"/>
              <w:bottom w:w="0" w:type="dxa"/>
            </w:tcMar>
            <w:vAlign w:val="center"/>
          </w:tcPr>
          <w:p w:rsidR="00367D6F" w:rsidRDefault="006D29F0">
            <w:pPr>
              <w:keepNext/>
              <w:keepLines/>
              <w:spacing w:after="0" w:line="240" w:lineRule="auto"/>
              <w:jc w:val="right"/>
            </w:pPr>
            <w:r>
              <w:rPr>
                <w:sz w:val="18"/>
              </w:rPr>
              <w:t>3.645,55</w:t>
            </w:r>
          </w:p>
        </w:tc>
        <w:tc>
          <w:tcPr>
            <w:tcW w:w="700" w:type="dxa"/>
            <w:tcMar>
              <w:top w:w="0" w:type="dxa"/>
              <w:bottom w:w="0" w:type="dxa"/>
            </w:tcMar>
            <w:vAlign w:val="center"/>
          </w:tcPr>
          <w:p w:rsidR="00367D6F" w:rsidRDefault="006D29F0">
            <w:pPr>
              <w:keepNext/>
              <w:keepLines/>
              <w:spacing w:after="0" w:line="240" w:lineRule="auto"/>
              <w:jc w:val="right"/>
            </w:pPr>
            <w:r>
              <w:rPr>
                <w:sz w:val="18"/>
              </w:rPr>
              <w:t>67,9</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367D6F" w:rsidRDefault="006D29F0">
            <w:pPr>
              <w:keepNext/>
              <w:keepLines/>
              <w:spacing w:after="0" w:line="240" w:lineRule="auto"/>
            </w:pPr>
            <w:r>
              <w:rPr>
                <w:b/>
                <w:sz w:val="18"/>
              </w:rPr>
              <w:t>Y002</w:t>
            </w:r>
          </w:p>
        </w:tc>
        <w:tc>
          <w:tcPr>
            <w:tcW w:w="1860" w:type="dxa"/>
            <w:tcMar>
              <w:top w:w="0" w:type="dxa"/>
              <w:bottom w:w="0" w:type="dxa"/>
            </w:tcMar>
            <w:vAlign w:val="center"/>
          </w:tcPr>
          <w:p w:rsidR="00367D6F" w:rsidRDefault="006D29F0">
            <w:pPr>
              <w:keepNext/>
              <w:keepLines/>
              <w:spacing w:after="0" w:line="240" w:lineRule="auto"/>
              <w:jc w:val="right"/>
            </w:pPr>
            <w:r>
              <w:rPr>
                <w:b/>
                <w:sz w:val="18"/>
              </w:rPr>
              <w:t>5.308,94</w:t>
            </w:r>
          </w:p>
        </w:tc>
        <w:tc>
          <w:tcPr>
            <w:tcW w:w="1860" w:type="dxa"/>
            <w:tcMar>
              <w:top w:w="0" w:type="dxa"/>
              <w:bottom w:w="0" w:type="dxa"/>
            </w:tcMar>
            <w:vAlign w:val="center"/>
          </w:tcPr>
          <w:p w:rsidR="00367D6F" w:rsidRDefault="006D29F0">
            <w:pPr>
              <w:keepNext/>
              <w:keepLines/>
              <w:spacing w:after="0" w:line="240" w:lineRule="auto"/>
              <w:jc w:val="right"/>
            </w:pPr>
            <w:r>
              <w:rPr>
                <w:b/>
                <w:sz w:val="18"/>
              </w:rPr>
              <w:t>3.566,81</w:t>
            </w:r>
          </w:p>
        </w:tc>
        <w:tc>
          <w:tcPr>
            <w:tcW w:w="700" w:type="dxa"/>
            <w:tcMar>
              <w:top w:w="0" w:type="dxa"/>
              <w:bottom w:w="0" w:type="dxa"/>
            </w:tcMar>
            <w:vAlign w:val="center"/>
          </w:tcPr>
          <w:p w:rsidR="00367D6F" w:rsidRDefault="006D29F0">
            <w:pPr>
              <w:keepNext/>
              <w:keepLines/>
              <w:spacing w:after="0" w:line="240" w:lineRule="auto"/>
              <w:jc w:val="right"/>
            </w:pPr>
            <w:r>
              <w:rPr>
                <w:b/>
                <w:sz w:val="18"/>
              </w:rPr>
              <w:t>67,2</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8</w:t>
            </w:r>
          </w:p>
        </w:tc>
        <w:tc>
          <w:tcPr>
            <w:tcW w:w="3180" w:type="dxa"/>
            <w:tcMar>
              <w:top w:w="0" w:type="dxa"/>
              <w:bottom w:w="0" w:type="dxa"/>
            </w:tcMar>
            <w:vAlign w:val="center"/>
          </w:tcPr>
          <w:p w:rsidR="00367D6F" w:rsidRDefault="006D29F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67D6F" w:rsidRDefault="006D29F0">
            <w:pPr>
              <w:keepNext/>
              <w:keepLines/>
              <w:spacing w:after="0" w:line="240" w:lineRule="auto"/>
            </w:pPr>
            <w:r>
              <w:rPr>
                <w:sz w:val="18"/>
              </w:rPr>
              <w:t>8</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5</w:t>
            </w:r>
          </w:p>
        </w:tc>
        <w:tc>
          <w:tcPr>
            <w:tcW w:w="3180" w:type="dxa"/>
            <w:tcMar>
              <w:top w:w="0" w:type="dxa"/>
              <w:bottom w:w="0" w:type="dxa"/>
            </w:tcMar>
            <w:vAlign w:val="center"/>
          </w:tcPr>
          <w:p w:rsidR="00367D6F" w:rsidRDefault="006D29F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367D6F" w:rsidRDefault="006D29F0">
            <w:pPr>
              <w:keepNext/>
              <w:keepLines/>
              <w:spacing w:after="0" w:line="240" w:lineRule="auto"/>
            </w:pPr>
            <w:r>
              <w:rPr>
                <w:sz w:val="18"/>
              </w:rPr>
              <w:t>5</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367D6F" w:rsidRDefault="006D29F0">
            <w:pPr>
              <w:keepNext/>
              <w:keepLines/>
              <w:spacing w:after="0" w:line="240" w:lineRule="auto"/>
            </w:pPr>
            <w:r>
              <w:rPr>
                <w:b/>
                <w:sz w:val="18"/>
              </w:rPr>
              <w:t>X003, Y003</w:t>
            </w:r>
          </w:p>
        </w:tc>
        <w:tc>
          <w:tcPr>
            <w:tcW w:w="1860" w:type="dxa"/>
            <w:tcMar>
              <w:top w:w="0" w:type="dxa"/>
              <w:bottom w:w="0" w:type="dxa"/>
            </w:tcMar>
            <w:vAlign w:val="center"/>
          </w:tcPr>
          <w:p w:rsidR="00367D6F" w:rsidRDefault="006D29F0">
            <w:pPr>
              <w:keepNext/>
              <w:keepLines/>
              <w:spacing w:after="0" w:line="240" w:lineRule="auto"/>
              <w:jc w:val="right"/>
            </w:pPr>
            <w:r>
              <w:rPr>
                <w:b/>
                <w:sz w:val="18"/>
              </w:rPr>
              <w:t>0,00</w:t>
            </w:r>
          </w:p>
        </w:tc>
        <w:tc>
          <w:tcPr>
            <w:tcW w:w="1860" w:type="dxa"/>
            <w:tcMar>
              <w:top w:w="0" w:type="dxa"/>
              <w:bottom w:w="0" w:type="dxa"/>
            </w:tcMar>
            <w:vAlign w:val="center"/>
          </w:tcPr>
          <w:p w:rsidR="00367D6F" w:rsidRDefault="006D29F0">
            <w:pPr>
              <w:keepNext/>
              <w:keepLines/>
              <w:spacing w:after="0" w:line="240" w:lineRule="auto"/>
              <w:jc w:val="right"/>
            </w:pPr>
            <w:r>
              <w:rPr>
                <w:b/>
                <w:sz w:val="18"/>
              </w:rPr>
              <w:t>0,00</w:t>
            </w:r>
          </w:p>
        </w:tc>
        <w:tc>
          <w:tcPr>
            <w:tcW w:w="700" w:type="dxa"/>
            <w:tcMar>
              <w:top w:w="0" w:type="dxa"/>
              <w:bottom w:w="0" w:type="dxa"/>
            </w:tcMar>
            <w:vAlign w:val="center"/>
          </w:tcPr>
          <w:p w:rsidR="00367D6F" w:rsidRDefault="006D29F0">
            <w:pPr>
              <w:keepNext/>
              <w:keepLines/>
              <w:spacing w:after="0" w:line="240" w:lineRule="auto"/>
              <w:jc w:val="right"/>
            </w:pPr>
            <w:r>
              <w:rPr>
                <w:b/>
                <w:sz w:val="18"/>
              </w:rPr>
              <w:t>-</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b/>
                <w:sz w:val="18"/>
              </w:rPr>
              <w:t>MANJAK PRIHODA I PRIMITAKA (šifre Y345-X678)</w:t>
            </w:r>
          </w:p>
        </w:tc>
        <w:tc>
          <w:tcPr>
            <w:tcW w:w="700" w:type="dxa"/>
            <w:tcMar>
              <w:top w:w="0" w:type="dxa"/>
              <w:bottom w:w="0" w:type="dxa"/>
            </w:tcMar>
            <w:vAlign w:val="center"/>
          </w:tcPr>
          <w:p w:rsidR="00367D6F" w:rsidRDefault="006D29F0">
            <w:pPr>
              <w:keepNext/>
              <w:keepLines/>
              <w:spacing w:after="0" w:line="240" w:lineRule="auto"/>
            </w:pPr>
            <w:r>
              <w:rPr>
                <w:b/>
                <w:sz w:val="18"/>
              </w:rPr>
              <w:t>Y005</w:t>
            </w:r>
          </w:p>
        </w:tc>
        <w:tc>
          <w:tcPr>
            <w:tcW w:w="1860" w:type="dxa"/>
            <w:tcMar>
              <w:top w:w="0" w:type="dxa"/>
              <w:bottom w:w="0" w:type="dxa"/>
            </w:tcMar>
            <w:vAlign w:val="center"/>
          </w:tcPr>
          <w:p w:rsidR="00367D6F" w:rsidRDefault="006D29F0">
            <w:pPr>
              <w:keepNext/>
              <w:keepLines/>
              <w:spacing w:after="0" w:line="240" w:lineRule="auto"/>
              <w:jc w:val="right"/>
            </w:pPr>
            <w:r>
              <w:rPr>
                <w:b/>
                <w:sz w:val="18"/>
              </w:rPr>
              <w:t>15.857,92</w:t>
            </w:r>
          </w:p>
        </w:tc>
        <w:tc>
          <w:tcPr>
            <w:tcW w:w="1860" w:type="dxa"/>
            <w:tcMar>
              <w:top w:w="0" w:type="dxa"/>
              <w:bottom w:w="0" w:type="dxa"/>
            </w:tcMar>
            <w:vAlign w:val="center"/>
          </w:tcPr>
          <w:p w:rsidR="00367D6F" w:rsidRDefault="006D29F0">
            <w:pPr>
              <w:keepNext/>
              <w:keepLines/>
              <w:spacing w:after="0" w:line="240" w:lineRule="auto"/>
              <w:jc w:val="right"/>
            </w:pPr>
            <w:r>
              <w:rPr>
                <w:b/>
                <w:sz w:val="18"/>
              </w:rPr>
              <w:t>81.067,86</w:t>
            </w:r>
          </w:p>
        </w:tc>
        <w:tc>
          <w:tcPr>
            <w:tcW w:w="700" w:type="dxa"/>
            <w:tcMar>
              <w:top w:w="0" w:type="dxa"/>
              <w:bottom w:w="0" w:type="dxa"/>
            </w:tcMar>
            <w:vAlign w:val="center"/>
          </w:tcPr>
          <w:p w:rsidR="00367D6F" w:rsidRDefault="006D29F0">
            <w:pPr>
              <w:keepNext/>
              <w:keepLines/>
              <w:spacing w:after="0" w:line="240" w:lineRule="auto"/>
              <w:jc w:val="right"/>
            </w:pPr>
            <w:r>
              <w:rPr>
                <w:b/>
                <w:sz w:val="18"/>
              </w:rPr>
              <w:t>511,2</w:t>
            </w:r>
          </w:p>
        </w:tc>
      </w:tr>
    </w:tbl>
    <w:p w:rsidR="00367D6F" w:rsidRDefault="00367D6F">
      <w:pPr>
        <w:spacing w:after="0"/>
      </w:pPr>
    </w:p>
    <w:p w:rsidR="00367D6F" w:rsidRDefault="006D29F0">
      <w:r>
        <w:t xml:space="preserve">Ukupni prihodi i primici veći su od ostvarenih u 2024. godini. Tekuće pomoći iz državnog proračuna veće su od ostvarenih 2024. godine zbog povećanja prihoda za plaće financirane iz državnog proračuna. Naime, prošle godine došlo je do povećanja obračunskih koeficijenata, a od 2025. godine i povećanja osnovice za izračun plaće. Kapitalne pomoći iz državnog proračuna su veće od ostvarenih u 2024. godini budući da je Škola uz prihode za nabavu udžbenika i knjiga za knjižnicu ostvarila i prihode za nabavu opreme u okviru projekata "Sanjaj budućnost" i "Zeleni horizonti - pogled u budućnost".  Također, Škola je ostvarila i </w:t>
      </w:r>
      <w:r>
        <w:lastRenderedPageBreak/>
        <w:t>tekuće pomoći za financiranje projekata "Sanjaj budućnost", "Zeleni horizonti - pogled u budućnost" i "</w:t>
      </w:r>
      <w:proofErr w:type="spellStart"/>
      <w:r>
        <w:t>Cybercooltura</w:t>
      </w:r>
      <w:proofErr w:type="spellEnd"/>
      <w:r>
        <w:t xml:space="preserve">". Tekuće pomoći temeljem prijenosa EU sredstava ostvarene su za sufinanciranje projekta </w:t>
      </w:r>
      <w:proofErr w:type="spellStart"/>
      <w:r>
        <w:t>Rinkluzija</w:t>
      </w:r>
      <w:proofErr w:type="spellEnd"/>
      <w:r>
        <w:t xml:space="preserve"> 8 ( zapošljavanje pomoćnika u nastavi). Veće su od ostvarenih u 2024. godini budući da se dio prihoda iz 2025. godine odnosi na pokriće manjka prihoda iz 2024. godine u okviru ovog projekta. Ostvareni prihodi iz gradskog proračuna veći su od ostvarenih u 2024. godini radi povećanih prihoda za financiranje programa Moja Rijeka i Građanski odgoj i obrazovanje te prihoda za sufinanciranje Programa stvaralaštva i Zdravstveni odgoj i obrazovanje kojih u 2024. godini nije bilo te prihoda za financiranje mjera sigurnosti, tj. ugradnje ulaznih vrata i popravak video-nadzora.</w:t>
      </w:r>
    </w:p>
    <w:p w:rsidR="00367D6F" w:rsidRDefault="006D29F0">
      <w:r>
        <w:t xml:space="preserve">Ukupni rashodi i izdaci za 2025. godinu veći su od ostvarenih u 2024. godini ponajviše radi povećanja rashoda za plaće, koji su veći u odnosu na 2024. godinu. Osim obračunskih koeficijenata i osnovice za obračun plaće koji su utjecali na povećanje rashoda za plaće,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plaća, prijevoz na posao i naknada zbog nezapošljavanja osoba s invaliditetom za prosinac 2025. godine, koja se financira iz državnog proračuna, proknjižena kao rashod u mjesecu prosincu 2025. godine, a rashod za plaću za prosinac 2024. godine knjižen je kao rashod siječnja 2025. godine. Također, u projektu </w:t>
      </w:r>
      <w:proofErr w:type="spellStart"/>
      <w:r>
        <w:t>Rinkluzija</w:t>
      </w:r>
      <w:proofErr w:type="spellEnd"/>
      <w:r>
        <w:t xml:space="preserve"> 8 zaposlene su četiri pomoćnice / pomoćnika u nastavi, a povećani su i rashodi za zaposlene u okviru programa Moja Rijeka, Građanski odgoj i obrazovanje i Zdravstveni odgoj.</w:t>
      </w:r>
    </w:p>
    <w:p w:rsidR="00367D6F" w:rsidRDefault="006D29F0">
      <w:r>
        <w:t>Manjak prihoda ostvaren u 2025. godini iznosi 81.067,86 eura. Zajedno s prenesenim manjkom prihoda iz 2024. godine koji je iznosio 19.920,21 eura, manjak prihoda za pokriće u sljedećem razdoblju iznosi 100.988,07 eura i sastoji se od manjka prihoda poslovanja u iznosu od 102.757,05 eura i viška prihoda od nefinancijske imovine u iznosu od 1.768,98 eura.</w:t>
      </w:r>
    </w:p>
    <w:p w:rsidR="00367D6F" w:rsidRDefault="006D29F0">
      <w:r>
        <w:t>Manjak prihoda poslovanja u iznosu od 102.757,05 eura prema izvorima sastoji se od: manjka prihoda od Grada Rijeke (izvor 1100) u iznosu od 10.818,61 eura, manjka prihoda od Grada Rijeke (izvor 4110) u iznosu od 6.024,81 eura, viška vlastitih prihoda (izvor 3100) u iznosu 4.057,07 eura, viška prihoda po posebnim prihodima (izvor 4400) u iznosu od 6.846,71 eura, manjka prihoda iz državnog proračuna (izvor 5710) u iznosu od 86.649,83 eura, manjka prihoda od tekućih pomoći temeljem prijenosa EU sredstava (izvor 5760) u iznosu od 10.167,90 eura i viška prihoda od tekućih donacija (izvor 6200) u iznosu od 0,32 eura.</w:t>
      </w:r>
    </w:p>
    <w:p w:rsidR="00367D6F" w:rsidRDefault="006D29F0">
      <w:r>
        <w:t xml:space="preserve">Višak prihoda od </w:t>
      </w:r>
      <w:r w:rsidR="00815A58">
        <w:t>nefinancijske imovine</w:t>
      </w:r>
      <w:r>
        <w:t xml:space="preserve"> u iznosu od 1.768,98 eura prema izvorima sastoji se od: viška prihoda iz državnog proračuna (izvor 5710) u iznosu od 1.659,21 eura, viška prihoda od kapitalnih donacija (izvor 6200) u iznosu od 24,00 eura i viška prihoda od prodaje stanova (izvor 7300) u iznosu od 85,77 eura.</w:t>
      </w:r>
    </w:p>
    <w:p w:rsidR="00367D6F" w:rsidRDefault="006D29F0">
      <w:r>
        <w:br/>
      </w:r>
    </w:p>
    <w:p w:rsidR="00367D6F" w:rsidRDefault="006D29F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6361</w:t>
            </w:r>
          </w:p>
        </w:tc>
        <w:tc>
          <w:tcPr>
            <w:tcW w:w="3180" w:type="dxa"/>
            <w:tcMar>
              <w:top w:w="0" w:type="dxa"/>
              <w:bottom w:w="0" w:type="dxa"/>
            </w:tcMar>
            <w:vAlign w:val="center"/>
          </w:tcPr>
          <w:p w:rsidR="00367D6F" w:rsidRDefault="006D29F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367D6F" w:rsidRDefault="006D29F0">
            <w:pPr>
              <w:keepNext/>
              <w:keepLines/>
              <w:spacing w:after="0" w:line="240" w:lineRule="auto"/>
            </w:pPr>
            <w:r>
              <w:rPr>
                <w:sz w:val="18"/>
              </w:rPr>
              <w:t>6361</w:t>
            </w:r>
          </w:p>
        </w:tc>
        <w:tc>
          <w:tcPr>
            <w:tcW w:w="1860" w:type="dxa"/>
            <w:tcMar>
              <w:top w:w="0" w:type="dxa"/>
              <w:bottom w:w="0" w:type="dxa"/>
            </w:tcMar>
            <w:vAlign w:val="center"/>
          </w:tcPr>
          <w:p w:rsidR="00367D6F" w:rsidRDefault="006D29F0">
            <w:pPr>
              <w:keepNext/>
              <w:keepLines/>
              <w:spacing w:after="0" w:line="240" w:lineRule="auto"/>
              <w:jc w:val="right"/>
            </w:pPr>
            <w:r>
              <w:rPr>
                <w:sz w:val="18"/>
              </w:rPr>
              <w:t>982.510,14</w:t>
            </w:r>
          </w:p>
        </w:tc>
        <w:tc>
          <w:tcPr>
            <w:tcW w:w="1860" w:type="dxa"/>
            <w:tcMar>
              <w:top w:w="0" w:type="dxa"/>
              <w:bottom w:w="0" w:type="dxa"/>
            </w:tcMar>
            <w:vAlign w:val="center"/>
          </w:tcPr>
          <w:p w:rsidR="00367D6F" w:rsidRDefault="006D29F0">
            <w:pPr>
              <w:keepNext/>
              <w:keepLines/>
              <w:spacing w:after="0" w:line="240" w:lineRule="auto"/>
              <w:jc w:val="right"/>
            </w:pPr>
            <w:r>
              <w:rPr>
                <w:sz w:val="18"/>
              </w:rPr>
              <w:t>1.104.136,02</w:t>
            </w:r>
          </w:p>
        </w:tc>
        <w:tc>
          <w:tcPr>
            <w:tcW w:w="700" w:type="dxa"/>
            <w:tcMar>
              <w:top w:w="0" w:type="dxa"/>
              <w:bottom w:w="0" w:type="dxa"/>
            </w:tcMar>
            <w:vAlign w:val="center"/>
          </w:tcPr>
          <w:p w:rsidR="00367D6F" w:rsidRDefault="006D29F0">
            <w:pPr>
              <w:keepNext/>
              <w:keepLines/>
              <w:spacing w:after="0" w:line="240" w:lineRule="auto"/>
              <w:jc w:val="right"/>
            </w:pPr>
            <w:r>
              <w:rPr>
                <w:sz w:val="18"/>
              </w:rPr>
              <w:t>112,4</w:t>
            </w:r>
          </w:p>
        </w:tc>
      </w:tr>
    </w:tbl>
    <w:p w:rsidR="00367D6F" w:rsidRDefault="00367D6F">
      <w:pPr>
        <w:spacing w:after="0"/>
      </w:pPr>
    </w:p>
    <w:p w:rsidR="00367D6F" w:rsidRDefault="006D29F0">
      <w:r>
        <w:t>Tekuće pomoći iz državnog proračuna veće su od  ostvarenih u 2024.  godini zbog povećanja prihoda za plaće financiranih iz državnog proračuna. Naime, prošle godine došlo je do povećanja obračunskih koeficijenata, a od 2025. godine i povećanja osnovice za izračun plaće. Također, Škola je ostvarila prihode za financiranje projekata "Sanjaj budućnost", "Zeleni horizonti - pogled u budućnost" i "</w:t>
      </w:r>
      <w:proofErr w:type="spellStart"/>
      <w:r>
        <w:t>Cybercooltura</w:t>
      </w:r>
      <w:proofErr w:type="spellEnd"/>
      <w:r>
        <w:t>".</w:t>
      </w:r>
    </w:p>
    <w:p w:rsidR="00367D6F" w:rsidRDefault="00367D6F"/>
    <w:p w:rsidR="00367D6F" w:rsidRDefault="006D29F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6362</w:t>
            </w:r>
          </w:p>
        </w:tc>
        <w:tc>
          <w:tcPr>
            <w:tcW w:w="3180" w:type="dxa"/>
            <w:tcMar>
              <w:top w:w="0" w:type="dxa"/>
              <w:bottom w:w="0" w:type="dxa"/>
            </w:tcMar>
            <w:vAlign w:val="center"/>
          </w:tcPr>
          <w:p w:rsidR="00367D6F" w:rsidRDefault="006D29F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367D6F" w:rsidRDefault="006D29F0">
            <w:pPr>
              <w:keepNext/>
              <w:keepLines/>
              <w:spacing w:after="0" w:line="240" w:lineRule="auto"/>
            </w:pPr>
            <w:r>
              <w:rPr>
                <w:sz w:val="18"/>
              </w:rPr>
              <w:t>6362</w:t>
            </w:r>
          </w:p>
        </w:tc>
        <w:tc>
          <w:tcPr>
            <w:tcW w:w="1860" w:type="dxa"/>
            <w:tcMar>
              <w:top w:w="0" w:type="dxa"/>
              <w:bottom w:w="0" w:type="dxa"/>
            </w:tcMar>
            <w:vAlign w:val="center"/>
          </w:tcPr>
          <w:p w:rsidR="00367D6F" w:rsidRDefault="006D29F0">
            <w:pPr>
              <w:keepNext/>
              <w:keepLines/>
              <w:spacing w:after="0" w:line="240" w:lineRule="auto"/>
              <w:jc w:val="right"/>
            </w:pPr>
            <w:r>
              <w:rPr>
                <w:sz w:val="18"/>
              </w:rPr>
              <w:t>1.985,65</w:t>
            </w:r>
          </w:p>
        </w:tc>
        <w:tc>
          <w:tcPr>
            <w:tcW w:w="1860" w:type="dxa"/>
            <w:tcMar>
              <w:top w:w="0" w:type="dxa"/>
              <w:bottom w:w="0" w:type="dxa"/>
            </w:tcMar>
            <w:vAlign w:val="center"/>
          </w:tcPr>
          <w:p w:rsidR="00367D6F" w:rsidRDefault="006D29F0">
            <w:pPr>
              <w:keepNext/>
              <w:keepLines/>
              <w:spacing w:after="0" w:line="240" w:lineRule="auto"/>
              <w:jc w:val="right"/>
            </w:pPr>
            <w:r>
              <w:rPr>
                <w:sz w:val="18"/>
              </w:rPr>
              <w:t>5.301,31</w:t>
            </w:r>
          </w:p>
        </w:tc>
        <w:tc>
          <w:tcPr>
            <w:tcW w:w="700" w:type="dxa"/>
            <w:tcMar>
              <w:top w:w="0" w:type="dxa"/>
              <w:bottom w:w="0" w:type="dxa"/>
            </w:tcMar>
            <w:vAlign w:val="center"/>
          </w:tcPr>
          <w:p w:rsidR="00367D6F" w:rsidRDefault="006D29F0">
            <w:pPr>
              <w:keepNext/>
              <w:keepLines/>
              <w:spacing w:after="0" w:line="240" w:lineRule="auto"/>
              <w:jc w:val="right"/>
            </w:pPr>
            <w:r>
              <w:rPr>
                <w:sz w:val="18"/>
              </w:rPr>
              <w:t>267,0</w:t>
            </w:r>
          </w:p>
        </w:tc>
      </w:tr>
    </w:tbl>
    <w:p w:rsidR="00367D6F" w:rsidRDefault="00367D6F">
      <w:pPr>
        <w:spacing w:after="0"/>
      </w:pPr>
    </w:p>
    <w:p w:rsidR="00367D6F" w:rsidRDefault="006D29F0">
      <w:r>
        <w:t>Kapitalne pomoći iz državnog proračuna su veće od ostvarenih u 2024. godini budući da je Škola uz prihode za nabavu udžbenika i knjiga za knjižnicu ostvarila i prihode za nabavu opreme u okviru projekata "Sanjaj budućnost" i "Zeleni horizonti - pogled u budućnost". </w:t>
      </w:r>
    </w:p>
    <w:p w:rsidR="00367D6F" w:rsidRDefault="00367D6F"/>
    <w:p w:rsidR="00367D6F" w:rsidRDefault="006D29F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6381</w:t>
            </w:r>
          </w:p>
        </w:tc>
        <w:tc>
          <w:tcPr>
            <w:tcW w:w="3180" w:type="dxa"/>
            <w:tcMar>
              <w:top w:w="0" w:type="dxa"/>
              <w:bottom w:w="0" w:type="dxa"/>
            </w:tcMar>
            <w:vAlign w:val="center"/>
          </w:tcPr>
          <w:p w:rsidR="00367D6F" w:rsidRDefault="006D29F0">
            <w:pPr>
              <w:keepNext/>
              <w:keepLines/>
              <w:spacing w:after="0" w:line="240" w:lineRule="auto"/>
            </w:pPr>
            <w:r>
              <w:rPr>
                <w:sz w:val="18"/>
              </w:rPr>
              <w:t>Tekuće pomoći temeljem prijenosa EU sredstava</w:t>
            </w:r>
          </w:p>
        </w:tc>
        <w:tc>
          <w:tcPr>
            <w:tcW w:w="700" w:type="dxa"/>
            <w:tcMar>
              <w:top w:w="0" w:type="dxa"/>
              <w:bottom w:w="0" w:type="dxa"/>
            </w:tcMar>
            <w:vAlign w:val="center"/>
          </w:tcPr>
          <w:p w:rsidR="00367D6F" w:rsidRDefault="006D29F0">
            <w:pPr>
              <w:keepNext/>
              <w:keepLines/>
              <w:spacing w:after="0" w:line="240" w:lineRule="auto"/>
            </w:pPr>
            <w:r>
              <w:rPr>
                <w:sz w:val="18"/>
              </w:rPr>
              <w:t>6381</w:t>
            </w:r>
          </w:p>
        </w:tc>
        <w:tc>
          <w:tcPr>
            <w:tcW w:w="1860" w:type="dxa"/>
            <w:tcMar>
              <w:top w:w="0" w:type="dxa"/>
              <w:bottom w:w="0" w:type="dxa"/>
            </w:tcMar>
            <w:vAlign w:val="center"/>
          </w:tcPr>
          <w:p w:rsidR="00367D6F" w:rsidRDefault="006D29F0">
            <w:pPr>
              <w:keepNext/>
              <w:keepLines/>
              <w:spacing w:after="0" w:line="240" w:lineRule="auto"/>
              <w:jc w:val="right"/>
            </w:pPr>
            <w:r>
              <w:rPr>
                <w:sz w:val="18"/>
              </w:rPr>
              <w:t>2.496,20</w:t>
            </w:r>
          </w:p>
        </w:tc>
        <w:tc>
          <w:tcPr>
            <w:tcW w:w="1860" w:type="dxa"/>
            <w:tcMar>
              <w:top w:w="0" w:type="dxa"/>
              <w:bottom w:w="0" w:type="dxa"/>
            </w:tcMar>
            <w:vAlign w:val="center"/>
          </w:tcPr>
          <w:p w:rsidR="00367D6F" w:rsidRDefault="006D29F0">
            <w:pPr>
              <w:keepNext/>
              <w:keepLines/>
              <w:spacing w:after="0" w:line="240" w:lineRule="auto"/>
              <w:jc w:val="right"/>
            </w:pPr>
            <w:r>
              <w:rPr>
                <w:sz w:val="18"/>
              </w:rPr>
              <w:t>24.032,31</w:t>
            </w:r>
          </w:p>
        </w:tc>
        <w:tc>
          <w:tcPr>
            <w:tcW w:w="700" w:type="dxa"/>
            <w:tcMar>
              <w:top w:w="0" w:type="dxa"/>
              <w:bottom w:w="0" w:type="dxa"/>
            </w:tcMar>
            <w:vAlign w:val="center"/>
          </w:tcPr>
          <w:p w:rsidR="00367D6F" w:rsidRDefault="006D29F0">
            <w:pPr>
              <w:keepNext/>
              <w:keepLines/>
              <w:spacing w:after="0" w:line="240" w:lineRule="auto"/>
              <w:jc w:val="right"/>
            </w:pPr>
            <w:r>
              <w:rPr>
                <w:sz w:val="18"/>
              </w:rPr>
              <w:t>962,8</w:t>
            </w:r>
          </w:p>
        </w:tc>
      </w:tr>
    </w:tbl>
    <w:p w:rsidR="00367D6F" w:rsidRDefault="00367D6F">
      <w:pPr>
        <w:spacing w:after="0"/>
      </w:pPr>
    </w:p>
    <w:p w:rsidR="00367D6F" w:rsidRDefault="006D29F0">
      <w:r>
        <w:t>Tekuće pomoći temeljem prijenosa EU sredstava ostvarene su za sufinanciranje projekta za zapošljavanje pomoćnika u nastavi. Veće su od ostvarenih u 2024. godini budući da se dio prihoda iz 2025. godine odnosi na pokriće manjka prihoda iz 2024. godine u okviru ovog projekta.</w:t>
      </w:r>
    </w:p>
    <w:p w:rsidR="00367D6F" w:rsidRDefault="00367D6F"/>
    <w:p w:rsidR="00367D6F" w:rsidRDefault="006D29F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6526</w:t>
            </w:r>
          </w:p>
        </w:tc>
        <w:tc>
          <w:tcPr>
            <w:tcW w:w="3180" w:type="dxa"/>
            <w:tcMar>
              <w:top w:w="0" w:type="dxa"/>
              <w:bottom w:w="0" w:type="dxa"/>
            </w:tcMar>
            <w:vAlign w:val="center"/>
          </w:tcPr>
          <w:p w:rsidR="00367D6F" w:rsidRDefault="006D29F0">
            <w:pPr>
              <w:keepNext/>
              <w:keepLines/>
              <w:spacing w:after="0" w:line="240" w:lineRule="auto"/>
            </w:pPr>
            <w:r>
              <w:rPr>
                <w:sz w:val="18"/>
              </w:rPr>
              <w:t>Ostali nespomenuti prihodi</w:t>
            </w:r>
          </w:p>
        </w:tc>
        <w:tc>
          <w:tcPr>
            <w:tcW w:w="700" w:type="dxa"/>
            <w:tcMar>
              <w:top w:w="0" w:type="dxa"/>
              <w:bottom w:w="0" w:type="dxa"/>
            </w:tcMar>
            <w:vAlign w:val="center"/>
          </w:tcPr>
          <w:p w:rsidR="00367D6F" w:rsidRDefault="006D29F0">
            <w:pPr>
              <w:keepNext/>
              <w:keepLines/>
              <w:spacing w:after="0" w:line="240" w:lineRule="auto"/>
            </w:pPr>
            <w:r>
              <w:rPr>
                <w:sz w:val="18"/>
              </w:rPr>
              <w:t>6526</w:t>
            </w:r>
          </w:p>
        </w:tc>
        <w:tc>
          <w:tcPr>
            <w:tcW w:w="1860" w:type="dxa"/>
            <w:tcMar>
              <w:top w:w="0" w:type="dxa"/>
              <w:bottom w:w="0" w:type="dxa"/>
            </w:tcMar>
            <w:vAlign w:val="center"/>
          </w:tcPr>
          <w:p w:rsidR="00367D6F" w:rsidRDefault="006D29F0">
            <w:pPr>
              <w:keepNext/>
              <w:keepLines/>
              <w:spacing w:after="0" w:line="240" w:lineRule="auto"/>
              <w:jc w:val="right"/>
            </w:pPr>
            <w:r>
              <w:rPr>
                <w:sz w:val="18"/>
              </w:rPr>
              <w:t>89.429,82</w:t>
            </w:r>
          </w:p>
        </w:tc>
        <w:tc>
          <w:tcPr>
            <w:tcW w:w="1860" w:type="dxa"/>
            <w:tcMar>
              <w:top w:w="0" w:type="dxa"/>
              <w:bottom w:w="0" w:type="dxa"/>
            </w:tcMar>
            <w:vAlign w:val="center"/>
          </w:tcPr>
          <w:p w:rsidR="00367D6F" w:rsidRDefault="006D29F0">
            <w:pPr>
              <w:keepNext/>
              <w:keepLines/>
              <w:spacing w:after="0" w:line="240" w:lineRule="auto"/>
              <w:jc w:val="right"/>
            </w:pPr>
            <w:r>
              <w:rPr>
                <w:sz w:val="18"/>
              </w:rPr>
              <w:t>90.824,90</w:t>
            </w:r>
          </w:p>
        </w:tc>
        <w:tc>
          <w:tcPr>
            <w:tcW w:w="700" w:type="dxa"/>
            <w:tcMar>
              <w:top w:w="0" w:type="dxa"/>
              <w:bottom w:w="0" w:type="dxa"/>
            </w:tcMar>
            <w:vAlign w:val="center"/>
          </w:tcPr>
          <w:p w:rsidR="00367D6F" w:rsidRDefault="006D29F0">
            <w:pPr>
              <w:keepNext/>
              <w:keepLines/>
              <w:spacing w:after="0" w:line="240" w:lineRule="auto"/>
              <w:jc w:val="right"/>
            </w:pPr>
            <w:r>
              <w:rPr>
                <w:sz w:val="18"/>
              </w:rPr>
              <w:t>101,6</w:t>
            </w:r>
          </w:p>
        </w:tc>
      </w:tr>
    </w:tbl>
    <w:p w:rsidR="00367D6F" w:rsidRDefault="00367D6F">
      <w:pPr>
        <w:spacing w:after="0"/>
      </w:pPr>
    </w:p>
    <w:p w:rsidR="00367D6F" w:rsidRDefault="006D29F0">
      <w:r>
        <w:t>Na ovoj poziciji iskazani su prihodi za sufinanciranje programa PB koje plaćaju roditelji učenika i prihodi za sufinanciranje troškova prehrane i rada učitelja u programu PB iz Upravnog odjela za zdravstvo, socijalnu zaštitu i unapređenje kvalitete života Grada Rijeke.</w:t>
      </w:r>
    </w:p>
    <w:p w:rsidR="00367D6F" w:rsidRDefault="00367D6F"/>
    <w:p w:rsidR="00367D6F" w:rsidRDefault="006D29F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6614</w:t>
            </w:r>
          </w:p>
        </w:tc>
        <w:tc>
          <w:tcPr>
            <w:tcW w:w="3180" w:type="dxa"/>
            <w:tcMar>
              <w:top w:w="0" w:type="dxa"/>
              <w:bottom w:w="0" w:type="dxa"/>
            </w:tcMar>
            <w:vAlign w:val="center"/>
          </w:tcPr>
          <w:p w:rsidR="00367D6F" w:rsidRDefault="006D29F0">
            <w:pPr>
              <w:keepNext/>
              <w:keepLines/>
              <w:spacing w:after="0" w:line="240" w:lineRule="auto"/>
            </w:pPr>
            <w:r>
              <w:rPr>
                <w:sz w:val="18"/>
              </w:rPr>
              <w:t>Prihodi od prodaje proizvoda i robe</w:t>
            </w:r>
          </w:p>
        </w:tc>
        <w:tc>
          <w:tcPr>
            <w:tcW w:w="700" w:type="dxa"/>
            <w:tcMar>
              <w:top w:w="0" w:type="dxa"/>
              <w:bottom w:w="0" w:type="dxa"/>
            </w:tcMar>
            <w:vAlign w:val="center"/>
          </w:tcPr>
          <w:p w:rsidR="00367D6F" w:rsidRDefault="006D29F0">
            <w:pPr>
              <w:keepNext/>
              <w:keepLines/>
              <w:spacing w:after="0" w:line="240" w:lineRule="auto"/>
            </w:pPr>
            <w:r>
              <w:rPr>
                <w:sz w:val="18"/>
              </w:rPr>
              <w:t>6614</w:t>
            </w:r>
          </w:p>
        </w:tc>
        <w:tc>
          <w:tcPr>
            <w:tcW w:w="1860" w:type="dxa"/>
            <w:tcMar>
              <w:top w:w="0" w:type="dxa"/>
              <w:bottom w:w="0" w:type="dxa"/>
            </w:tcMar>
            <w:vAlign w:val="center"/>
          </w:tcPr>
          <w:p w:rsidR="00367D6F" w:rsidRDefault="006D29F0">
            <w:pPr>
              <w:keepNext/>
              <w:keepLines/>
              <w:spacing w:after="0" w:line="240" w:lineRule="auto"/>
              <w:jc w:val="right"/>
            </w:pPr>
            <w:r>
              <w:rPr>
                <w:sz w:val="18"/>
              </w:rPr>
              <w:t>912,00</w:t>
            </w:r>
          </w:p>
        </w:tc>
        <w:tc>
          <w:tcPr>
            <w:tcW w:w="1860" w:type="dxa"/>
            <w:tcMar>
              <w:top w:w="0" w:type="dxa"/>
              <w:bottom w:w="0" w:type="dxa"/>
            </w:tcMar>
            <w:vAlign w:val="center"/>
          </w:tcPr>
          <w:p w:rsidR="00367D6F" w:rsidRDefault="006D29F0">
            <w:pPr>
              <w:keepNext/>
              <w:keepLines/>
              <w:spacing w:after="0" w:line="240" w:lineRule="auto"/>
              <w:jc w:val="right"/>
            </w:pPr>
            <w:r>
              <w:rPr>
                <w:sz w:val="18"/>
              </w:rPr>
              <w:t>896,00</w:t>
            </w:r>
          </w:p>
        </w:tc>
        <w:tc>
          <w:tcPr>
            <w:tcW w:w="700" w:type="dxa"/>
            <w:tcMar>
              <w:top w:w="0" w:type="dxa"/>
              <w:bottom w:w="0" w:type="dxa"/>
            </w:tcMar>
            <w:vAlign w:val="center"/>
          </w:tcPr>
          <w:p w:rsidR="00367D6F" w:rsidRDefault="006D29F0">
            <w:pPr>
              <w:keepNext/>
              <w:keepLines/>
              <w:spacing w:after="0" w:line="240" w:lineRule="auto"/>
              <w:jc w:val="right"/>
            </w:pPr>
            <w:r>
              <w:rPr>
                <w:sz w:val="18"/>
              </w:rPr>
              <w:t>98,2</w:t>
            </w:r>
          </w:p>
        </w:tc>
      </w:tr>
    </w:tbl>
    <w:p w:rsidR="00367D6F" w:rsidRDefault="00367D6F">
      <w:pPr>
        <w:spacing w:after="0"/>
      </w:pPr>
    </w:p>
    <w:p w:rsidR="00367D6F" w:rsidRDefault="006D29F0">
      <w:r>
        <w:t>Na ovoj poziciji iskazani su prihodi od prodaje proizvoda Učeničke zadruge.</w:t>
      </w:r>
    </w:p>
    <w:p w:rsidR="00367D6F" w:rsidRDefault="00367D6F"/>
    <w:p w:rsidR="00367D6F" w:rsidRDefault="006D29F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6711</w:t>
            </w:r>
          </w:p>
        </w:tc>
        <w:tc>
          <w:tcPr>
            <w:tcW w:w="3180" w:type="dxa"/>
            <w:tcMar>
              <w:top w:w="0" w:type="dxa"/>
              <w:bottom w:w="0" w:type="dxa"/>
            </w:tcMar>
            <w:vAlign w:val="center"/>
          </w:tcPr>
          <w:p w:rsidR="00367D6F" w:rsidRDefault="006D29F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367D6F" w:rsidRDefault="006D29F0">
            <w:pPr>
              <w:keepNext/>
              <w:keepLines/>
              <w:spacing w:after="0" w:line="240" w:lineRule="auto"/>
            </w:pPr>
            <w:r>
              <w:rPr>
                <w:sz w:val="18"/>
              </w:rPr>
              <w:t>6711</w:t>
            </w:r>
          </w:p>
        </w:tc>
        <w:tc>
          <w:tcPr>
            <w:tcW w:w="1860" w:type="dxa"/>
            <w:tcMar>
              <w:top w:w="0" w:type="dxa"/>
              <w:bottom w:w="0" w:type="dxa"/>
            </w:tcMar>
            <w:vAlign w:val="center"/>
          </w:tcPr>
          <w:p w:rsidR="00367D6F" w:rsidRDefault="006D29F0">
            <w:pPr>
              <w:keepNext/>
              <w:keepLines/>
              <w:spacing w:after="0" w:line="240" w:lineRule="auto"/>
              <w:jc w:val="right"/>
            </w:pPr>
            <w:r>
              <w:rPr>
                <w:sz w:val="18"/>
              </w:rPr>
              <w:t>107.857,18</w:t>
            </w:r>
          </w:p>
        </w:tc>
        <w:tc>
          <w:tcPr>
            <w:tcW w:w="1860" w:type="dxa"/>
            <w:tcMar>
              <w:top w:w="0" w:type="dxa"/>
              <w:bottom w:w="0" w:type="dxa"/>
            </w:tcMar>
            <w:vAlign w:val="center"/>
          </w:tcPr>
          <w:p w:rsidR="00367D6F" w:rsidRDefault="006D29F0">
            <w:pPr>
              <w:keepNext/>
              <w:keepLines/>
              <w:spacing w:after="0" w:line="240" w:lineRule="auto"/>
              <w:jc w:val="right"/>
            </w:pPr>
            <w:r>
              <w:rPr>
                <w:sz w:val="18"/>
              </w:rPr>
              <w:t>163.660,44</w:t>
            </w:r>
          </w:p>
        </w:tc>
        <w:tc>
          <w:tcPr>
            <w:tcW w:w="700" w:type="dxa"/>
            <w:tcMar>
              <w:top w:w="0" w:type="dxa"/>
              <w:bottom w:w="0" w:type="dxa"/>
            </w:tcMar>
            <w:vAlign w:val="center"/>
          </w:tcPr>
          <w:p w:rsidR="00367D6F" w:rsidRDefault="006D29F0">
            <w:pPr>
              <w:keepNext/>
              <w:keepLines/>
              <w:spacing w:after="0" w:line="240" w:lineRule="auto"/>
              <w:jc w:val="right"/>
            </w:pPr>
            <w:r>
              <w:rPr>
                <w:sz w:val="18"/>
              </w:rPr>
              <w:t>151,7</w:t>
            </w:r>
          </w:p>
        </w:tc>
      </w:tr>
    </w:tbl>
    <w:p w:rsidR="00367D6F" w:rsidRDefault="00367D6F">
      <w:pPr>
        <w:spacing w:after="0"/>
      </w:pPr>
    </w:p>
    <w:p w:rsidR="00367D6F" w:rsidRDefault="006D29F0">
      <w:r>
        <w:t>Ostvareni prihodi iz gradskog proračuna veći su od ostvarenih u 2024. godini radi povećanih prihoda za financiranje programa Moja Rijeka i Građanski odgoj i obrazovanje te prihoda za sufinanciranje Programa stvaralaštva i  Zdravstvenog odgoja i obrazovanja kojih u 2024. godini nije bilo te prihoda za financiranje mjera sigurnosti, tj. ugradnje ulaznih vrata i popravak video-nadzora.</w:t>
      </w:r>
    </w:p>
    <w:p w:rsidR="00367D6F" w:rsidRDefault="00367D6F"/>
    <w:p w:rsidR="00367D6F" w:rsidRDefault="006D29F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31</w:t>
            </w:r>
          </w:p>
        </w:tc>
        <w:tc>
          <w:tcPr>
            <w:tcW w:w="3180" w:type="dxa"/>
            <w:tcMar>
              <w:top w:w="0" w:type="dxa"/>
              <w:bottom w:w="0" w:type="dxa"/>
            </w:tcMar>
            <w:vAlign w:val="center"/>
          </w:tcPr>
          <w:p w:rsidR="00367D6F" w:rsidRDefault="006D29F0">
            <w:pPr>
              <w:keepNext/>
              <w:keepLines/>
              <w:spacing w:after="0" w:line="240" w:lineRule="auto"/>
            </w:pPr>
            <w:r>
              <w:rPr>
                <w:sz w:val="18"/>
              </w:rPr>
              <w:t>Rashodi za zaposlene (šifre 311+312+313)</w:t>
            </w:r>
          </w:p>
        </w:tc>
        <w:tc>
          <w:tcPr>
            <w:tcW w:w="700" w:type="dxa"/>
            <w:tcMar>
              <w:top w:w="0" w:type="dxa"/>
              <w:bottom w:w="0" w:type="dxa"/>
            </w:tcMar>
            <w:vAlign w:val="center"/>
          </w:tcPr>
          <w:p w:rsidR="00367D6F" w:rsidRDefault="006D29F0">
            <w:pPr>
              <w:keepNext/>
              <w:keepLines/>
              <w:spacing w:after="0" w:line="240" w:lineRule="auto"/>
            </w:pPr>
            <w:r>
              <w:rPr>
                <w:sz w:val="18"/>
              </w:rPr>
              <w:t>31</w:t>
            </w:r>
          </w:p>
        </w:tc>
        <w:tc>
          <w:tcPr>
            <w:tcW w:w="1860" w:type="dxa"/>
            <w:tcMar>
              <w:top w:w="0" w:type="dxa"/>
              <w:bottom w:w="0" w:type="dxa"/>
            </w:tcMar>
            <w:vAlign w:val="center"/>
          </w:tcPr>
          <w:p w:rsidR="00367D6F" w:rsidRDefault="006D29F0">
            <w:pPr>
              <w:keepNext/>
              <w:keepLines/>
              <w:spacing w:after="0" w:line="240" w:lineRule="auto"/>
              <w:jc w:val="right"/>
            </w:pPr>
            <w:r>
              <w:rPr>
                <w:sz w:val="18"/>
              </w:rPr>
              <w:t>983.469,44</w:t>
            </w:r>
          </w:p>
        </w:tc>
        <w:tc>
          <w:tcPr>
            <w:tcW w:w="1860" w:type="dxa"/>
            <w:tcMar>
              <w:top w:w="0" w:type="dxa"/>
              <w:bottom w:w="0" w:type="dxa"/>
            </w:tcMar>
            <w:vAlign w:val="center"/>
          </w:tcPr>
          <w:p w:rsidR="00367D6F" w:rsidRDefault="006D29F0">
            <w:pPr>
              <w:keepNext/>
              <w:keepLines/>
              <w:spacing w:after="0" w:line="240" w:lineRule="auto"/>
              <w:jc w:val="right"/>
            </w:pPr>
            <w:r>
              <w:rPr>
                <w:sz w:val="18"/>
              </w:rPr>
              <w:t>1.238.542,86</w:t>
            </w:r>
          </w:p>
        </w:tc>
        <w:tc>
          <w:tcPr>
            <w:tcW w:w="700" w:type="dxa"/>
            <w:tcMar>
              <w:top w:w="0" w:type="dxa"/>
              <w:bottom w:w="0" w:type="dxa"/>
            </w:tcMar>
            <w:vAlign w:val="center"/>
          </w:tcPr>
          <w:p w:rsidR="00367D6F" w:rsidRDefault="006D29F0">
            <w:pPr>
              <w:keepNext/>
              <w:keepLines/>
              <w:spacing w:after="0" w:line="240" w:lineRule="auto"/>
              <w:jc w:val="right"/>
            </w:pPr>
            <w:r>
              <w:rPr>
                <w:sz w:val="18"/>
              </w:rPr>
              <w:t>125,9</w:t>
            </w:r>
          </w:p>
        </w:tc>
      </w:tr>
    </w:tbl>
    <w:p w:rsidR="00367D6F" w:rsidRDefault="00367D6F">
      <w:pPr>
        <w:spacing w:after="0"/>
      </w:pPr>
    </w:p>
    <w:p w:rsidR="00367D6F" w:rsidRDefault="006D29F0">
      <w:r>
        <w:t xml:space="preserve">Rashodi za zaposlene su veći u odnosu na 2024. godinu. Osim obračunskih koeficijenata i osnovice za obračun plaće koji su utjecali na povećanje rashoda za plaće,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plaća, prijevoz na posao i naknada zbog nezapošljavanja osoba s invaliditetom za prosinac 2025. godine, koja se financira iz državnog proračuna, proknjižena kao rashod u mjesecu prosincu 2025. godine, a rashod za plaću za prosinac 2024. godine bio je knjižen kao rashod siječnja 2025. godine. Također, u projektu </w:t>
      </w:r>
      <w:proofErr w:type="spellStart"/>
      <w:r>
        <w:t>Rinkluzija</w:t>
      </w:r>
      <w:proofErr w:type="spellEnd"/>
      <w:r>
        <w:t xml:space="preserve"> 8 zaposlene su četiri pomoćnice / pomoćnika u nastavi, a povećani su i rashodi za zaposlene u okviru programa Moja Rijeka, Građanski odgoj i obrazovanje i Zdravstveni odgoj i obrazovanje.</w:t>
      </w:r>
    </w:p>
    <w:p w:rsidR="00367D6F" w:rsidRDefault="00367D6F"/>
    <w:p w:rsidR="00367D6F" w:rsidRDefault="006D29F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311</w:t>
            </w:r>
          </w:p>
        </w:tc>
        <w:tc>
          <w:tcPr>
            <w:tcW w:w="3180" w:type="dxa"/>
            <w:tcMar>
              <w:top w:w="0" w:type="dxa"/>
              <w:bottom w:w="0" w:type="dxa"/>
            </w:tcMar>
            <w:vAlign w:val="center"/>
          </w:tcPr>
          <w:p w:rsidR="00367D6F" w:rsidRDefault="006D29F0">
            <w:pPr>
              <w:keepNext/>
              <w:keepLines/>
              <w:spacing w:after="0" w:line="240" w:lineRule="auto"/>
            </w:pPr>
            <w:r>
              <w:rPr>
                <w:sz w:val="18"/>
              </w:rPr>
              <w:t>Plaće (bruto) (šifre 3111 do 3114)</w:t>
            </w:r>
          </w:p>
        </w:tc>
        <w:tc>
          <w:tcPr>
            <w:tcW w:w="700" w:type="dxa"/>
            <w:tcMar>
              <w:top w:w="0" w:type="dxa"/>
              <w:bottom w:w="0" w:type="dxa"/>
            </w:tcMar>
            <w:vAlign w:val="center"/>
          </w:tcPr>
          <w:p w:rsidR="00367D6F" w:rsidRDefault="006D29F0">
            <w:pPr>
              <w:keepNext/>
              <w:keepLines/>
              <w:spacing w:after="0" w:line="240" w:lineRule="auto"/>
            </w:pPr>
            <w:r>
              <w:rPr>
                <w:sz w:val="18"/>
              </w:rPr>
              <w:t>311</w:t>
            </w:r>
          </w:p>
        </w:tc>
        <w:tc>
          <w:tcPr>
            <w:tcW w:w="1860" w:type="dxa"/>
            <w:tcMar>
              <w:top w:w="0" w:type="dxa"/>
              <w:bottom w:w="0" w:type="dxa"/>
            </w:tcMar>
            <w:vAlign w:val="center"/>
          </w:tcPr>
          <w:p w:rsidR="00367D6F" w:rsidRDefault="006D29F0">
            <w:pPr>
              <w:keepNext/>
              <w:keepLines/>
              <w:spacing w:after="0" w:line="240" w:lineRule="auto"/>
              <w:jc w:val="right"/>
            </w:pPr>
            <w:r>
              <w:rPr>
                <w:sz w:val="18"/>
              </w:rPr>
              <w:t>833.397,16</w:t>
            </w:r>
          </w:p>
        </w:tc>
        <w:tc>
          <w:tcPr>
            <w:tcW w:w="1860" w:type="dxa"/>
            <w:tcMar>
              <w:top w:w="0" w:type="dxa"/>
              <w:bottom w:w="0" w:type="dxa"/>
            </w:tcMar>
            <w:vAlign w:val="center"/>
          </w:tcPr>
          <w:p w:rsidR="00367D6F" w:rsidRDefault="006D29F0">
            <w:pPr>
              <w:keepNext/>
              <w:keepLines/>
              <w:spacing w:after="0" w:line="240" w:lineRule="auto"/>
              <w:jc w:val="right"/>
            </w:pPr>
            <w:r>
              <w:rPr>
                <w:sz w:val="18"/>
              </w:rPr>
              <w:t>1.039.402,57</w:t>
            </w:r>
          </w:p>
        </w:tc>
        <w:tc>
          <w:tcPr>
            <w:tcW w:w="700" w:type="dxa"/>
            <w:tcMar>
              <w:top w:w="0" w:type="dxa"/>
              <w:bottom w:w="0" w:type="dxa"/>
            </w:tcMar>
            <w:vAlign w:val="center"/>
          </w:tcPr>
          <w:p w:rsidR="00367D6F" w:rsidRDefault="006D29F0">
            <w:pPr>
              <w:keepNext/>
              <w:keepLines/>
              <w:spacing w:after="0" w:line="240" w:lineRule="auto"/>
              <w:jc w:val="right"/>
            </w:pPr>
            <w:r>
              <w:rPr>
                <w:sz w:val="18"/>
              </w:rPr>
              <w:t>124,7</w:t>
            </w:r>
          </w:p>
        </w:tc>
      </w:tr>
    </w:tbl>
    <w:p w:rsidR="00367D6F" w:rsidRDefault="00367D6F">
      <w:pPr>
        <w:spacing w:after="0"/>
      </w:pPr>
    </w:p>
    <w:p w:rsidR="00367D6F" w:rsidRDefault="006D29F0">
      <w:r>
        <w:t xml:space="preserve">Rashodi za plaće su veći u odnosu na 2024. godinu. Osim obračunskih koeficijenata i osnovice za obračun plaće koji su utjecali na povećanje rashoda za plaće,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plaća za prosinac 2025. godine, koja se financira iz državnog proračuna, proknjižena kao rashod u mjesecu prosincu 2025. godine, a rashod za plaću za prosinac 2024. godine knjižen je kao rashod siječnja 2025. godine. Također, u projektu </w:t>
      </w:r>
      <w:proofErr w:type="spellStart"/>
      <w:r>
        <w:t>Rinkluzija</w:t>
      </w:r>
      <w:proofErr w:type="spellEnd"/>
      <w:r>
        <w:t xml:space="preserve"> 8 zaposlene su četiri pomoćnice / pomoćnika u nastavi, a povećani su i rashodi za zaposlene u okviru programa Moja Rijeka, Građanski odgoj i obrazovanje i Zdravstveni odgoj i obrazovanje.</w:t>
      </w:r>
    </w:p>
    <w:p w:rsidR="00367D6F" w:rsidRDefault="00367D6F"/>
    <w:p w:rsidR="00367D6F" w:rsidRDefault="006D29F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3111</w:t>
            </w:r>
          </w:p>
        </w:tc>
        <w:tc>
          <w:tcPr>
            <w:tcW w:w="3180" w:type="dxa"/>
            <w:tcMar>
              <w:top w:w="0" w:type="dxa"/>
              <w:bottom w:w="0" w:type="dxa"/>
            </w:tcMar>
            <w:vAlign w:val="center"/>
          </w:tcPr>
          <w:p w:rsidR="00367D6F" w:rsidRDefault="006D29F0">
            <w:pPr>
              <w:keepNext/>
              <w:keepLines/>
              <w:spacing w:after="0" w:line="240" w:lineRule="auto"/>
            </w:pPr>
            <w:r>
              <w:rPr>
                <w:sz w:val="18"/>
              </w:rPr>
              <w:t>Plaće za redovan rad</w:t>
            </w:r>
          </w:p>
        </w:tc>
        <w:tc>
          <w:tcPr>
            <w:tcW w:w="700" w:type="dxa"/>
            <w:tcMar>
              <w:top w:w="0" w:type="dxa"/>
              <w:bottom w:w="0" w:type="dxa"/>
            </w:tcMar>
            <w:vAlign w:val="center"/>
          </w:tcPr>
          <w:p w:rsidR="00367D6F" w:rsidRDefault="006D29F0">
            <w:pPr>
              <w:keepNext/>
              <w:keepLines/>
              <w:spacing w:after="0" w:line="240" w:lineRule="auto"/>
            </w:pPr>
            <w:r>
              <w:rPr>
                <w:sz w:val="18"/>
              </w:rPr>
              <w:t>3111</w:t>
            </w:r>
          </w:p>
        </w:tc>
        <w:tc>
          <w:tcPr>
            <w:tcW w:w="1860" w:type="dxa"/>
            <w:tcMar>
              <w:top w:w="0" w:type="dxa"/>
              <w:bottom w:w="0" w:type="dxa"/>
            </w:tcMar>
            <w:vAlign w:val="center"/>
          </w:tcPr>
          <w:p w:rsidR="00367D6F" w:rsidRDefault="006D29F0">
            <w:pPr>
              <w:keepNext/>
              <w:keepLines/>
              <w:spacing w:after="0" w:line="240" w:lineRule="auto"/>
              <w:jc w:val="right"/>
            </w:pPr>
            <w:r>
              <w:rPr>
                <w:sz w:val="18"/>
              </w:rPr>
              <w:t>826.279,09</w:t>
            </w:r>
          </w:p>
        </w:tc>
        <w:tc>
          <w:tcPr>
            <w:tcW w:w="1860" w:type="dxa"/>
            <w:tcMar>
              <w:top w:w="0" w:type="dxa"/>
              <w:bottom w:w="0" w:type="dxa"/>
            </w:tcMar>
            <w:vAlign w:val="center"/>
          </w:tcPr>
          <w:p w:rsidR="00367D6F" w:rsidRDefault="006D29F0">
            <w:pPr>
              <w:keepNext/>
              <w:keepLines/>
              <w:spacing w:after="0" w:line="240" w:lineRule="auto"/>
              <w:jc w:val="right"/>
            </w:pPr>
            <w:r>
              <w:rPr>
                <w:sz w:val="18"/>
              </w:rPr>
              <w:t>1.011.363,93</w:t>
            </w:r>
          </w:p>
        </w:tc>
        <w:tc>
          <w:tcPr>
            <w:tcW w:w="700" w:type="dxa"/>
            <w:tcMar>
              <w:top w:w="0" w:type="dxa"/>
              <w:bottom w:w="0" w:type="dxa"/>
            </w:tcMar>
            <w:vAlign w:val="center"/>
          </w:tcPr>
          <w:p w:rsidR="00367D6F" w:rsidRDefault="006D29F0">
            <w:pPr>
              <w:keepNext/>
              <w:keepLines/>
              <w:spacing w:after="0" w:line="240" w:lineRule="auto"/>
              <w:jc w:val="right"/>
            </w:pPr>
            <w:r>
              <w:rPr>
                <w:sz w:val="18"/>
              </w:rPr>
              <w:t>122,4</w:t>
            </w:r>
          </w:p>
        </w:tc>
      </w:tr>
    </w:tbl>
    <w:p w:rsidR="00367D6F" w:rsidRDefault="00367D6F">
      <w:pPr>
        <w:spacing w:after="0"/>
      </w:pPr>
    </w:p>
    <w:p w:rsidR="00367D6F" w:rsidRDefault="006D29F0">
      <w:r>
        <w:t xml:space="preserve">Rashodi za plaće su veći u odnosu na 2024. godinu. Osim obračunskih koeficijenata i osnovice za obračun plaće koji su utjecali na povećanje rashoda za plaće,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plaća za prosinac 2025. godine, koja se financira iz državnog proračuna, proknjižena kao rashod u mjesecu prosincu 2025. godine, a rashod za plaću za prosinac 2024. godine knjižen je kao rashod siječnja 2025. godine. Također, u projektu </w:t>
      </w:r>
      <w:proofErr w:type="spellStart"/>
      <w:r>
        <w:t>Rinkluzija</w:t>
      </w:r>
      <w:proofErr w:type="spellEnd"/>
      <w:r>
        <w:t xml:space="preserve"> 8 zaposlene su četiri pomoćnice / pomoćnika u nastavi, a povećani su i rashodi za zaposlene u okviru programa Moja Rijeka, Građanski odgoj i obrazovanje i Zdravstveni odgoj i obrazovanje.</w:t>
      </w:r>
    </w:p>
    <w:p w:rsidR="00367D6F" w:rsidRDefault="00367D6F"/>
    <w:p w:rsidR="00367D6F" w:rsidRDefault="006D29F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3113</w:t>
            </w:r>
          </w:p>
        </w:tc>
        <w:tc>
          <w:tcPr>
            <w:tcW w:w="3180" w:type="dxa"/>
            <w:tcMar>
              <w:top w:w="0" w:type="dxa"/>
              <w:bottom w:w="0" w:type="dxa"/>
            </w:tcMar>
            <w:vAlign w:val="center"/>
          </w:tcPr>
          <w:p w:rsidR="00367D6F" w:rsidRDefault="006D29F0">
            <w:pPr>
              <w:keepNext/>
              <w:keepLines/>
              <w:spacing w:after="0" w:line="240" w:lineRule="auto"/>
            </w:pPr>
            <w:r>
              <w:rPr>
                <w:sz w:val="18"/>
              </w:rPr>
              <w:t>Plaće za prekovremeni rad</w:t>
            </w:r>
          </w:p>
        </w:tc>
        <w:tc>
          <w:tcPr>
            <w:tcW w:w="700" w:type="dxa"/>
            <w:tcMar>
              <w:top w:w="0" w:type="dxa"/>
              <w:bottom w:w="0" w:type="dxa"/>
            </w:tcMar>
            <w:vAlign w:val="center"/>
          </w:tcPr>
          <w:p w:rsidR="00367D6F" w:rsidRDefault="006D29F0">
            <w:pPr>
              <w:keepNext/>
              <w:keepLines/>
              <w:spacing w:after="0" w:line="240" w:lineRule="auto"/>
            </w:pPr>
            <w:r>
              <w:rPr>
                <w:sz w:val="18"/>
              </w:rPr>
              <w:t>3113</w:t>
            </w:r>
          </w:p>
        </w:tc>
        <w:tc>
          <w:tcPr>
            <w:tcW w:w="1860" w:type="dxa"/>
            <w:tcMar>
              <w:top w:w="0" w:type="dxa"/>
              <w:bottom w:w="0" w:type="dxa"/>
            </w:tcMar>
            <w:vAlign w:val="center"/>
          </w:tcPr>
          <w:p w:rsidR="00367D6F" w:rsidRDefault="006D29F0">
            <w:pPr>
              <w:keepNext/>
              <w:keepLines/>
              <w:spacing w:after="0" w:line="240" w:lineRule="auto"/>
              <w:jc w:val="right"/>
            </w:pPr>
            <w:r>
              <w:rPr>
                <w:sz w:val="18"/>
              </w:rPr>
              <w:t>6.557,40</w:t>
            </w:r>
          </w:p>
        </w:tc>
        <w:tc>
          <w:tcPr>
            <w:tcW w:w="1860" w:type="dxa"/>
            <w:tcMar>
              <w:top w:w="0" w:type="dxa"/>
              <w:bottom w:w="0" w:type="dxa"/>
            </w:tcMar>
            <w:vAlign w:val="center"/>
          </w:tcPr>
          <w:p w:rsidR="00367D6F" w:rsidRDefault="006D29F0">
            <w:pPr>
              <w:keepNext/>
              <w:keepLines/>
              <w:spacing w:after="0" w:line="240" w:lineRule="auto"/>
              <w:jc w:val="right"/>
            </w:pPr>
            <w:r>
              <w:rPr>
                <w:sz w:val="18"/>
              </w:rPr>
              <w:t>25.951,03</w:t>
            </w:r>
          </w:p>
        </w:tc>
        <w:tc>
          <w:tcPr>
            <w:tcW w:w="700" w:type="dxa"/>
            <w:tcMar>
              <w:top w:w="0" w:type="dxa"/>
              <w:bottom w:w="0" w:type="dxa"/>
            </w:tcMar>
            <w:vAlign w:val="center"/>
          </w:tcPr>
          <w:p w:rsidR="00367D6F" w:rsidRDefault="006D29F0">
            <w:pPr>
              <w:keepNext/>
              <w:keepLines/>
              <w:spacing w:after="0" w:line="240" w:lineRule="auto"/>
              <w:jc w:val="right"/>
            </w:pPr>
            <w:r>
              <w:rPr>
                <w:sz w:val="18"/>
              </w:rPr>
              <w:t>395,8</w:t>
            </w:r>
          </w:p>
        </w:tc>
      </w:tr>
    </w:tbl>
    <w:p w:rsidR="00367D6F" w:rsidRDefault="00367D6F">
      <w:pPr>
        <w:spacing w:after="0"/>
      </w:pPr>
    </w:p>
    <w:p w:rsidR="00367D6F" w:rsidRDefault="006D29F0">
      <w:r>
        <w:t>Rashodi za plaće za prekovremeni rad su veći u odnosu na 2025. godinu radi povećanja cijene prekovremenog sata te isplate prekovremenih sati za dodatnu nastavu hrvatskog jezika te zamjene za socijalnu pedagoginju. Također, u 2024. godini se plaća za prekovremeni rad knjižila djelomično u okviru računa 3111.</w:t>
      </w:r>
    </w:p>
    <w:p w:rsidR="00367D6F" w:rsidRDefault="00367D6F"/>
    <w:p w:rsidR="00367D6F" w:rsidRDefault="006D29F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3114</w:t>
            </w:r>
          </w:p>
        </w:tc>
        <w:tc>
          <w:tcPr>
            <w:tcW w:w="3180" w:type="dxa"/>
            <w:tcMar>
              <w:top w:w="0" w:type="dxa"/>
              <w:bottom w:w="0" w:type="dxa"/>
            </w:tcMar>
            <w:vAlign w:val="center"/>
          </w:tcPr>
          <w:p w:rsidR="00367D6F" w:rsidRDefault="006D29F0">
            <w:pPr>
              <w:keepNext/>
              <w:keepLines/>
              <w:spacing w:after="0" w:line="240" w:lineRule="auto"/>
            </w:pPr>
            <w:r>
              <w:rPr>
                <w:sz w:val="18"/>
              </w:rPr>
              <w:t>Plaće za posebne uvjete rada</w:t>
            </w:r>
          </w:p>
        </w:tc>
        <w:tc>
          <w:tcPr>
            <w:tcW w:w="700" w:type="dxa"/>
            <w:tcMar>
              <w:top w:w="0" w:type="dxa"/>
              <w:bottom w:w="0" w:type="dxa"/>
            </w:tcMar>
            <w:vAlign w:val="center"/>
          </w:tcPr>
          <w:p w:rsidR="00367D6F" w:rsidRDefault="006D29F0">
            <w:pPr>
              <w:keepNext/>
              <w:keepLines/>
              <w:spacing w:after="0" w:line="240" w:lineRule="auto"/>
            </w:pPr>
            <w:r>
              <w:rPr>
                <w:sz w:val="18"/>
              </w:rPr>
              <w:t>3114</w:t>
            </w:r>
          </w:p>
        </w:tc>
        <w:tc>
          <w:tcPr>
            <w:tcW w:w="1860" w:type="dxa"/>
            <w:tcMar>
              <w:top w:w="0" w:type="dxa"/>
              <w:bottom w:w="0" w:type="dxa"/>
            </w:tcMar>
            <w:vAlign w:val="center"/>
          </w:tcPr>
          <w:p w:rsidR="00367D6F" w:rsidRDefault="006D29F0">
            <w:pPr>
              <w:keepNext/>
              <w:keepLines/>
              <w:spacing w:after="0" w:line="240" w:lineRule="auto"/>
              <w:jc w:val="right"/>
            </w:pPr>
            <w:r>
              <w:rPr>
                <w:sz w:val="18"/>
              </w:rPr>
              <w:t>560,67</w:t>
            </w:r>
          </w:p>
        </w:tc>
        <w:tc>
          <w:tcPr>
            <w:tcW w:w="1860" w:type="dxa"/>
            <w:tcMar>
              <w:top w:w="0" w:type="dxa"/>
              <w:bottom w:w="0" w:type="dxa"/>
            </w:tcMar>
            <w:vAlign w:val="center"/>
          </w:tcPr>
          <w:p w:rsidR="00367D6F" w:rsidRDefault="006D29F0">
            <w:pPr>
              <w:keepNext/>
              <w:keepLines/>
              <w:spacing w:after="0" w:line="240" w:lineRule="auto"/>
              <w:jc w:val="right"/>
            </w:pPr>
            <w:r>
              <w:rPr>
                <w:sz w:val="18"/>
              </w:rPr>
              <w:t>2.087,61</w:t>
            </w:r>
          </w:p>
        </w:tc>
        <w:tc>
          <w:tcPr>
            <w:tcW w:w="700" w:type="dxa"/>
            <w:tcMar>
              <w:top w:w="0" w:type="dxa"/>
              <w:bottom w:w="0" w:type="dxa"/>
            </w:tcMar>
            <w:vAlign w:val="center"/>
          </w:tcPr>
          <w:p w:rsidR="00367D6F" w:rsidRDefault="006D29F0">
            <w:pPr>
              <w:keepNext/>
              <w:keepLines/>
              <w:spacing w:after="0" w:line="240" w:lineRule="auto"/>
              <w:jc w:val="right"/>
            </w:pPr>
            <w:r>
              <w:rPr>
                <w:sz w:val="18"/>
              </w:rPr>
              <w:t>372,3</w:t>
            </w:r>
          </w:p>
        </w:tc>
      </w:tr>
    </w:tbl>
    <w:p w:rsidR="00367D6F" w:rsidRDefault="00367D6F">
      <w:pPr>
        <w:spacing w:after="0"/>
      </w:pPr>
    </w:p>
    <w:p w:rsidR="00367D6F" w:rsidRDefault="006D29F0">
      <w:r>
        <w:t>Rashodi za plaće za posebne uvjete rada su veći u odnosu na 2025. godinu radi povećanja broja prilagođenih programa. Također, u 2024. godini se plaća za posebne uvjete rada knjižila djelomično u okviru računa 3111.</w:t>
      </w:r>
    </w:p>
    <w:p w:rsidR="00367D6F" w:rsidRDefault="00367D6F"/>
    <w:p w:rsidR="00367D6F" w:rsidRDefault="006D29F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312</w:t>
            </w:r>
          </w:p>
        </w:tc>
        <w:tc>
          <w:tcPr>
            <w:tcW w:w="3180" w:type="dxa"/>
            <w:tcMar>
              <w:top w:w="0" w:type="dxa"/>
              <w:bottom w:w="0" w:type="dxa"/>
            </w:tcMar>
            <w:vAlign w:val="center"/>
          </w:tcPr>
          <w:p w:rsidR="00367D6F" w:rsidRDefault="006D29F0">
            <w:pPr>
              <w:keepNext/>
              <w:keepLines/>
              <w:spacing w:after="0" w:line="240" w:lineRule="auto"/>
            </w:pPr>
            <w:r>
              <w:rPr>
                <w:sz w:val="18"/>
              </w:rPr>
              <w:t>Ostali rashodi za zaposlene</w:t>
            </w:r>
          </w:p>
        </w:tc>
        <w:tc>
          <w:tcPr>
            <w:tcW w:w="700" w:type="dxa"/>
            <w:tcMar>
              <w:top w:w="0" w:type="dxa"/>
              <w:bottom w:w="0" w:type="dxa"/>
            </w:tcMar>
            <w:vAlign w:val="center"/>
          </w:tcPr>
          <w:p w:rsidR="00367D6F" w:rsidRDefault="006D29F0">
            <w:pPr>
              <w:keepNext/>
              <w:keepLines/>
              <w:spacing w:after="0" w:line="240" w:lineRule="auto"/>
            </w:pPr>
            <w:r>
              <w:rPr>
                <w:sz w:val="18"/>
              </w:rPr>
              <w:t>312</w:t>
            </w:r>
          </w:p>
        </w:tc>
        <w:tc>
          <w:tcPr>
            <w:tcW w:w="1860" w:type="dxa"/>
            <w:tcMar>
              <w:top w:w="0" w:type="dxa"/>
              <w:bottom w:w="0" w:type="dxa"/>
            </w:tcMar>
            <w:vAlign w:val="center"/>
          </w:tcPr>
          <w:p w:rsidR="00367D6F" w:rsidRDefault="006D29F0">
            <w:pPr>
              <w:keepNext/>
              <w:keepLines/>
              <w:spacing w:after="0" w:line="240" w:lineRule="auto"/>
              <w:jc w:val="right"/>
            </w:pPr>
            <w:r>
              <w:rPr>
                <w:sz w:val="18"/>
              </w:rPr>
              <w:t>32.723,22</w:t>
            </w:r>
          </w:p>
        </w:tc>
        <w:tc>
          <w:tcPr>
            <w:tcW w:w="1860" w:type="dxa"/>
            <w:tcMar>
              <w:top w:w="0" w:type="dxa"/>
              <w:bottom w:w="0" w:type="dxa"/>
            </w:tcMar>
            <w:vAlign w:val="center"/>
          </w:tcPr>
          <w:p w:rsidR="00367D6F" w:rsidRDefault="006D29F0">
            <w:pPr>
              <w:keepNext/>
              <w:keepLines/>
              <w:spacing w:after="0" w:line="240" w:lineRule="auto"/>
              <w:jc w:val="right"/>
            </w:pPr>
            <w:r>
              <w:rPr>
                <w:sz w:val="18"/>
              </w:rPr>
              <w:t>45.814,41</w:t>
            </w:r>
          </w:p>
        </w:tc>
        <w:tc>
          <w:tcPr>
            <w:tcW w:w="700" w:type="dxa"/>
            <w:tcMar>
              <w:top w:w="0" w:type="dxa"/>
              <w:bottom w:w="0" w:type="dxa"/>
            </w:tcMar>
            <w:vAlign w:val="center"/>
          </w:tcPr>
          <w:p w:rsidR="00367D6F" w:rsidRDefault="006D29F0">
            <w:pPr>
              <w:keepNext/>
              <w:keepLines/>
              <w:spacing w:after="0" w:line="240" w:lineRule="auto"/>
              <w:jc w:val="right"/>
            </w:pPr>
            <w:r>
              <w:rPr>
                <w:sz w:val="18"/>
              </w:rPr>
              <w:t>140,0</w:t>
            </w:r>
          </w:p>
        </w:tc>
      </w:tr>
    </w:tbl>
    <w:p w:rsidR="00367D6F" w:rsidRDefault="00367D6F">
      <w:pPr>
        <w:spacing w:after="0"/>
      </w:pPr>
    </w:p>
    <w:p w:rsidR="00367D6F" w:rsidRDefault="006D29F0">
      <w:r>
        <w:t xml:space="preserve">Ostali rashodi za zaposlene su veći u odnosu na 2024. godinu radi isplate regresa za godišnji odmor, </w:t>
      </w:r>
      <w:proofErr w:type="spellStart"/>
      <w:r>
        <w:t>uskrsnice</w:t>
      </w:r>
      <w:proofErr w:type="spellEnd"/>
      <w:r>
        <w:t>, dara za dijete i božićnice za pomoćnike u nastavi te isplata pomoći za bolovanje, pomoći za smrt člana uže obitelji i otpremnine zbog odlaska u mirovinu.</w:t>
      </w:r>
    </w:p>
    <w:p w:rsidR="00367D6F" w:rsidRDefault="00367D6F"/>
    <w:p w:rsidR="00367D6F" w:rsidRDefault="006D29F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3132</w:t>
            </w:r>
          </w:p>
        </w:tc>
        <w:tc>
          <w:tcPr>
            <w:tcW w:w="3180" w:type="dxa"/>
            <w:tcMar>
              <w:top w:w="0" w:type="dxa"/>
              <w:bottom w:w="0" w:type="dxa"/>
            </w:tcMar>
            <w:vAlign w:val="center"/>
          </w:tcPr>
          <w:p w:rsidR="00367D6F" w:rsidRDefault="006D29F0">
            <w:pPr>
              <w:keepNext/>
              <w:keepLines/>
              <w:spacing w:after="0" w:line="240" w:lineRule="auto"/>
            </w:pPr>
            <w:r>
              <w:rPr>
                <w:sz w:val="18"/>
              </w:rPr>
              <w:t>Doprinosi za obvezno zdravstveno osiguranje</w:t>
            </w:r>
          </w:p>
        </w:tc>
        <w:tc>
          <w:tcPr>
            <w:tcW w:w="700" w:type="dxa"/>
            <w:tcMar>
              <w:top w:w="0" w:type="dxa"/>
              <w:bottom w:w="0" w:type="dxa"/>
            </w:tcMar>
            <w:vAlign w:val="center"/>
          </w:tcPr>
          <w:p w:rsidR="00367D6F" w:rsidRDefault="006D29F0">
            <w:pPr>
              <w:keepNext/>
              <w:keepLines/>
              <w:spacing w:after="0" w:line="240" w:lineRule="auto"/>
            </w:pPr>
            <w:r>
              <w:rPr>
                <w:sz w:val="18"/>
              </w:rPr>
              <w:t>3132</w:t>
            </w:r>
          </w:p>
        </w:tc>
        <w:tc>
          <w:tcPr>
            <w:tcW w:w="1860" w:type="dxa"/>
            <w:tcMar>
              <w:top w:w="0" w:type="dxa"/>
              <w:bottom w:w="0" w:type="dxa"/>
            </w:tcMar>
            <w:vAlign w:val="center"/>
          </w:tcPr>
          <w:p w:rsidR="00367D6F" w:rsidRDefault="006D29F0">
            <w:pPr>
              <w:keepNext/>
              <w:keepLines/>
              <w:spacing w:after="0" w:line="240" w:lineRule="auto"/>
              <w:jc w:val="right"/>
            </w:pPr>
            <w:r>
              <w:rPr>
                <w:sz w:val="18"/>
              </w:rPr>
              <w:t>117.345,63</w:t>
            </w:r>
          </w:p>
        </w:tc>
        <w:tc>
          <w:tcPr>
            <w:tcW w:w="1860" w:type="dxa"/>
            <w:tcMar>
              <w:top w:w="0" w:type="dxa"/>
              <w:bottom w:w="0" w:type="dxa"/>
            </w:tcMar>
            <w:vAlign w:val="center"/>
          </w:tcPr>
          <w:p w:rsidR="00367D6F" w:rsidRDefault="006D29F0">
            <w:pPr>
              <w:keepNext/>
              <w:keepLines/>
              <w:spacing w:after="0" w:line="240" w:lineRule="auto"/>
              <w:jc w:val="right"/>
            </w:pPr>
            <w:r>
              <w:rPr>
                <w:sz w:val="18"/>
              </w:rPr>
              <w:t>153.325,88</w:t>
            </w:r>
          </w:p>
        </w:tc>
        <w:tc>
          <w:tcPr>
            <w:tcW w:w="700" w:type="dxa"/>
            <w:tcMar>
              <w:top w:w="0" w:type="dxa"/>
              <w:bottom w:w="0" w:type="dxa"/>
            </w:tcMar>
            <w:vAlign w:val="center"/>
          </w:tcPr>
          <w:p w:rsidR="00367D6F" w:rsidRDefault="006D29F0">
            <w:pPr>
              <w:keepNext/>
              <w:keepLines/>
              <w:spacing w:after="0" w:line="240" w:lineRule="auto"/>
              <w:jc w:val="right"/>
            </w:pPr>
            <w:r>
              <w:rPr>
                <w:sz w:val="18"/>
              </w:rPr>
              <w:t>130,7</w:t>
            </w:r>
          </w:p>
        </w:tc>
      </w:tr>
    </w:tbl>
    <w:p w:rsidR="00367D6F" w:rsidRDefault="00367D6F">
      <w:pPr>
        <w:spacing w:after="0"/>
      </w:pPr>
    </w:p>
    <w:p w:rsidR="00367D6F" w:rsidRDefault="006D29F0">
      <w:r>
        <w:t xml:space="preserve">Rashodi za  doprinose za zdravstveno osiguranje su veći u odnosu na 2024. godinu. Osim obračunskih koeficijenata i osnovice za obračun plaće koji su utjecali na povećanje rashoda za plaće,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plaća (uključujući doprinose za obvezno zdravstveno osiguranje) za prosinac 2025. godine, koja se financira iz državnog proračuna, proknjižena kao rashod u mjesecu prosincu 2025. godine, a rashod za plaću za prosinac 2024. godine knjižen je kao rashod siječnja 2025. godine. Također, u projektu </w:t>
      </w:r>
      <w:proofErr w:type="spellStart"/>
      <w:r>
        <w:t>Rinkluzija</w:t>
      </w:r>
      <w:proofErr w:type="spellEnd"/>
      <w:r>
        <w:t xml:space="preserve"> 8 zaposlene su četiri pomoćnice / pomoćnika u nastavi, a povećani su i rashodi za zaposlene u okviru programa Moja Rijeka, Građanski odgoj i obrazovanje i Zdravstveni odgoj i obrazovanje.</w:t>
      </w:r>
    </w:p>
    <w:p w:rsidR="00367D6F" w:rsidRDefault="00367D6F"/>
    <w:p w:rsidR="00367D6F" w:rsidRDefault="006D29F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3212</w:t>
            </w:r>
          </w:p>
        </w:tc>
        <w:tc>
          <w:tcPr>
            <w:tcW w:w="3180" w:type="dxa"/>
            <w:tcMar>
              <w:top w:w="0" w:type="dxa"/>
              <w:bottom w:w="0" w:type="dxa"/>
            </w:tcMar>
            <w:vAlign w:val="center"/>
          </w:tcPr>
          <w:p w:rsidR="00367D6F" w:rsidRDefault="006D29F0">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367D6F" w:rsidRDefault="006D29F0">
            <w:pPr>
              <w:keepNext/>
              <w:keepLines/>
              <w:spacing w:after="0" w:line="240" w:lineRule="auto"/>
            </w:pPr>
            <w:r>
              <w:rPr>
                <w:sz w:val="18"/>
              </w:rPr>
              <w:t>3212</w:t>
            </w:r>
          </w:p>
        </w:tc>
        <w:tc>
          <w:tcPr>
            <w:tcW w:w="1860" w:type="dxa"/>
            <w:tcMar>
              <w:top w:w="0" w:type="dxa"/>
              <w:bottom w:w="0" w:type="dxa"/>
            </w:tcMar>
            <w:vAlign w:val="center"/>
          </w:tcPr>
          <w:p w:rsidR="00367D6F" w:rsidRDefault="006D29F0">
            <w:pPr>
              <w:keepNext/>
              <w:keepLines/>
              <w:spacing w:after="0" w:line="240" w:lineRule="auto"/>
              <w:jc w:val="right"/>
            </w:pPr>
            <w:r>
              <w:rPr>
                <w:sz w:val="18"/>
              </w:rPr>
              <w:t>20.924,18</w:t>
            </w:r>
          </w:p>
        </w:tc>
        <w:tc>
          <w:tcPr>
            <w:tcW w:w="1860" w:type="dxa"/>
            <w:tcMar>
              <w:top w:w="0" w:type="dxa"/>
              <w:bottom w:w="0" w:type="dxa"/>
            </w:tcMar>
            <w:vAlign w:val="center"/>
          </w:tcPr>
          <w:p w:rsidR="00367D6F" w:rsidRDefault="006D29F0">
            <w:pPr>
              <w:keepNext/>
              <w:keepLines/>
              <w:spacing w:after="0" w:line="240" w:lineRule="auto"/>
              <w:jc w:val="right"/>
            </w:pPr>
            <w:r>
              <w:rPr>
                <w:sz w:val="18"/>
              </w:rPr>
              <w:t>27.459,24</w:t>
            </w:r>
          </w:p>
        </w:tc>
        <w:tc>
          <w:tcPr>
            <w:tcW w:w="700" w:type="dxa"/>
            <w:tcMar>
              <w:top w:w="0" w:type="dxa"/>
              <w:bottom w:w="0" w:type="dxa"/>
            </w:tcMar>
            <w:vAlign w:val="center"/>
          </w:tcPr>
          <w:p w:rsidR="00367D6F" w:rsidRDefault="006D29F0">
            <w:pPr>
              <w:keepNext/>
              <w:keepLines/>
              <w:spacing w:after="0" w:line="240" w:lineRule="auto"/>
              <w:jc w:val="right"/>
            </w:pPr>
            <w:r>
              <w:rPr>
                <w:sz w:val="18"/>
              </w:rPr>
              <w:t>131,2</w:t>
            </w:r>
          </w:p>
        </w:tc>
      </w:tr>
    </w:tbl>
    <w:p w:rsidR="00367D6F" w:rsidRDefault="00367D6F">
      <w:pPr>
        <w:spacing w:after="0"/>
      </w:pPr>
    </w:p>
    <w:p w:rsidR="00367D6F" w:rsidRDefault="006D29F0">
      <w:r>
        <w:t>Rashodi za prijevoz na posao su veći u odnosu na 2024. godinu. Naime,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prijevoz na posao  za prosinac 2025. godine, koji se financira iz državnog proračuna, proknjižen kao rashod u mjesecu prosincu 2025. godine, a rashod za prijevoz na posao za prosinac 2024. godine bio je knjižen kao rashod siječnja 2025. godine. </w:t>
      </w:r>
    </w:p>
    <w:p w:rsidR="00367D6F" w:rsidRDefault="00367D6F"/>
    <w:p w:rsidR="00367D6F" w:rsidRDefault="006D29F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3213</w:t>
            </w:r>
          </w:p>
        </w:tc>
        <w:tc>
          <w:tcPr>
            <w:tcW w:w="3180" w:type="dxa"/>
            <w:tcMar>
              <w:top w:w="0" w:type="dxa"/>
              <w:bottom w:w="0" w:type="dxa"/>
            </w:tcMar>
            <w:vAlign w:val="center"/>
          </w:tcPr>
          <w:p w:rsidR="00367D6F" w:rsidRDefault="006D29F0">
            <w:pPr>
              <w:keepNext/>
              <w:keepLines/>
              <w:spacing w:after="0" w:line="240" w:lineRule="auto"/>
            </w:pPr>
            <w:r>
              <w:rPr>
                <w:sz w:val="18"/>
              </w:rPr>
              <w:t>Stručno usavršavanje zaposlenika</w:t>
            </w:r>
          </w:p>
        </w:tc>
        <w:tc>
          <w:tcPr>
            <w:tcW w:w="700" w:type="dxa"/>
            <w:tcMar>
              <w:top w:w="0" w:type="dxa"/>
              <w:bottom w:w="0" w:type="dxa"/>
            </w:tcMar>
            <w:vAlign w:val="center"/>
          </w:tcPr>
          <w:p w:rsidR="00367D6F" w:rsidRDefault="006D29F0">
            <w:pPr>
              <w:keepNext/>
              <w:keepLines/>
              <w:spacing w:after="0" w:line="240" w:lineRule="auto"/>
            </w:pPr>
            <w:r>
              <w:rPr>
                <w:sz w:val="18"/>
              </w:rPr>
              <w:t>3213</w:t>
            </w:r>
          </w:p>
        </w:tc>
        <w:tc>
          <w:tcPr>
            <w:tcW w:w="1860" w:type="dxa"/>
            <w:tcMar>
              <w:top w:w="0" w:type="dxa"/>
              <w:bottom w:w="0" w:type="dxa"/>
            </w:tcMar>
            <w:vAlign w:val="center"/>
          </w:tcPr>
          <w:p w:rsidR="00367D6F" w:rsidRDefault="006D29F0">
            <w:pPr>
              <w:keepNext/>
              <w:keepLines/>
              <w:spacing w:after="0" w:line="240" w:lineRule="auto"/>
              <w:jc w:val="right"/>
            </w:pPr>
            <w:r>
              <w:rPr>
                <w:sz w:val="18"/>
              </w:rPr>
              <w:t>380,00</w:t>
            </w:r>
          </w:p>
        </w:tc>
        <w:tc>
          <w:tcPr>
            <w:tcW w:w="1860" w:type="dxa"/>
            <w:tcMar>
              <w:top w:w="0" w:type="dxa"/>
              <w:bottom w:w="0" w:type="dxa"/>
            </w:tcMar>
            <w:vAlign w:val="center"/>
          </w:tcPr>
          <w:p w:rsidR="00367D6F" w:rsidRDefault="006D29F0">
            <w:pPr>
              <w:keepNext/>
              <w:keepLines/>
              <w:spacing w:after="0" w:line="240" w:lineRule="auto"/>
              <w:jc w:val="right"/>
            </w:pPr>
            <w:r>
              <w:rPr>
                <w:sz w:val="18"/>
              </w:rPr>
              <w:t>421,07</w:t>
            </w:r>
          </w:p>
        </w:tc>
        <w:tc>
          <w:tcPr>
            <w:tcW w:w="700" w:type="dxa"/>
            <w:tcMar>
              <w:top w:w="0" w:type="dxa"/>
              <w:bottom w:w="0" w:type="dxa"/>
            </w:tcMar>
            <w:vAlign w:val="center"/>
          </w:tcPr>
          <w:p w:rsidR="00367D6F" w:rsidRDefault="006D29F0">
            <w:pPr>
              <w:keepNext/>
              <w:keepLines/>
              <w:spacing w:after="0" w:line="240" w:lineRule="auto"/>
              <w:jc w:val="right"/>
            </w:pPr>
            <w:r>
              <w:rPr>
                <w:sz w:val="18"/>
              </w:rPr>
              <w:t>110,8</w:t>
            </w:r>
          </w:p>
        </w:tc>
      </w:tr>
    </w:tbl>
    <w:p w:rsidR="00367D6F" w:rsidRDefault="00367D6F">
      <w:pPr>
        <w:spacing w:after="0"/>
      </w:pPr>
    </w:p>
    <w:p w:rsidR="00367D6F" w:rsidRDefault="006D29F0">
      <w:r>
        <w:t>Rashodi za stručno usavršavanje zaposlenika su veći u odnosu na 2024. godinu radi održanog tečaja "Edukacija u pružanju prve pomoći" za sve djelatnike za koje je edukacija bila obvezna.</w:t>
      </w:r>
    </w:p>
    <w:p w:rsidR="00367D6F" w:rsidRDefault="00367D6F"/>
    <w:p w:rsidR="00367D6F" w:rsidRDefault="006D29F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3221</w:t>
            </w:r>
          </w:p>
        </w:tc>
        <w:tc>
          <w:tcPr>
            <w:tcW w:w="3180" w:type="dxa"/>
            <w:tcMar>
              <w:top w:w="0" w:type="dxa"/>
              <w:bottom w:w="0" w:type="dxa"/>
            </w:tcMar>
            <w:vAlign w:val="center"/>
          </w:tcPr>
          <w:p w:rsidR="00367D6F" w:rsidRDefault="006D29F0">
            <w:pPr>
              <w:keepNext/>
              <w:keepLines/>
              <w:spacing w:after="0" w:line="240" w:lineRule="auto"/>
            </w:pPr>
            <w:r>
              <w:rPr>
                <w:sz w:val="18"/>
              </w:rPr>
              <w:t>Uredski materijal i ostali materijalni rashodi</w:t>
            </w:r>
          </w:p>
        </w:tc>
        <w:tc>
          <w:tcPr>
            <w:tcW w:w="700" w:type="dxa"/>
            <w:tcMar>
              <w:top w:w="0" w:type="dxa"/>
              <w:bottom w:w="0" w:type="dxa"/>
            </w:tcMar>
            <w:vAlign w:val="center"/>
          </w:tcPr>
          <w:p w:rsidR="00367D6F" w:rsidRDefault="006D29F0">
            <w:pPr>
              <w:keepNext/>
              <w:keepLines/>
              <w:spacing w:after="0" w:line="240" w:lineRule="auto"/>
            </w:pPr>
            <w:r>
              <w:rPr>
                <w:sz w:val="18"/>
              </w:rPr>
              <w:t>3221</w:t>
            </w:r>
          </w:p>
        </w:tc>
        <w:tc>
          <w:tcPr>
            <w:tcW w:w="1860" w:type="dxa"/>
            <w:tcMar>
              <w:top w:w="0" w:type="dxa"/>
              <w:bottom w:w="0" w:type="dxa"/>
            </w:tcMar>
            <w:vAlign w:val="center"/>
          </w:tcPr>
          <w:p w:rsidR="00367D6F" w:rsidRDefault="006D29F0">
            <w:pPr>
              <w:keepNext/>
              <w:keepLines/>
              <w:spacing w:after="0" w:line="240" w:lineRule="auto"/>
              <w:jc w:val="right"/>
            </w:pPr>
            <w:r>
              <w:rPr>
                <w:sz w:val="18"/>
              </w:rPr>
              <w:t>15.162,32</w:t>
            </w:r>
          </w:p>
        </w:tc>
        <w:tc>
          <w:tcPr>
            <w:tcW w:w="1860" w:type="dxa"/>
            <w:tcMar>
              <w:top w:w="0" w:type="dxa"/>
              <w:bottom w:w="0" w:type="dxa"/>
            </w:tcMar>
            <w:vAlign w:val="center"/>
          </w:tcPr>
          <w:p w:rsidR="00367D6F" w:rsidRDefault="006D29F0">
            <w:pPr>
              <w:keepNext/>
              <w:keepLines/>
              <w:spacing w:after="0" w:line="240" w:lineRule="auto"/>
              <w:jc w:val="right"/>
            </w:pPr>
            <w:r>
              <w:rPr>
                <w:sz w:val="18"/>
              </w:rPr>
              <w:t>12.863,76</w:t>
            </w:r>
          </w:p>
        </w:tc>
        <w:tc>
          <w:tcPr>
            <w:tcW w:w="700" w:type="dxa"/>
            <w:tcMar>
              <w:top w:w="0" w:type="dxa"/>
              <w:bottom w:w="0" w:type="dxa"/>
            </w:tcMar>
            <w:vAlign w:val="center"/>
          </w:tcPr>
          <w:p w:rsidR="00367D6F" w:rsidRDefault="006D29F0">
            <w:pPr>
              <w:keepNext/>
              <w:keepLines/>
              <w:spacing w:after="0" w:line="240" w:lineRule="auto"/>
              <w:jc w:val="right"/>
            </w:pPr>
            <w:r>
              <w:rPr>
                <w:sz w:val="18"/>
              </w:rPr>
              <w:t>84,8</w:t>
            </w:r>
          </w:p>
        </w:tc>
      </w:tr>
    </w:tbl>
    <w:p w:rsidR="00367D6F" w:rsidRDefault="00367D6F">
      <w:pPr>
        <w:spacing w:after="0"/>
      </w:pPr>
    </w:p>
    <w:p w:rsidR="00367D6F" w:rsidRDefault="006D29F0">
      <w:r>
        <w:t>Rashodi za uredski materijal i ostale materijalne rashode manji su za razliku od ostvarenih u 2024. godini, budući da je veća količina uredskog materijala i materijala za higijenske potrebe i njegu, koji se koristio u 2025. godini nabavljena krajem 2024. godine. Također, nabava ostalog materijala za potrebe redovnog poslovanja je bila manja u 2025. godini u odnosu na 2024. godinu., sukladno potrebama poslovanja Škole.</w:t>
      </w:r>
    </w:p>
    <w:p w:rsidR="00367D6F" w:rsidRDefault="00367D6F"/>
    <w:p w:rsidR="00367D6F" w:rsidRDefault="006D29F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3222</w:t>
            </w:r>
          </w:p>
        </w:tc>
        <w:tc>
          <w:tcPr>
            <w:tcW w:w="3180" w:type="dxa"/>
            <w:tcMar>
              <w:top w:w="0" w:type="dxa"/>
              <w:bottom w:w="0" w:type="dxa"/>
            </w:tcMar>
            <w:vAlign w:val="center"/>
          </w:tcPr>
          <w:p w:rsidR="00367D6F" w:rsidRDefault="006D29F0">
            <w:pPr>
              <w:keepNext/>
              <w:keepLines/>
              <w:spacing w:after="0" w:line="240" w:lineRule="auto"/>
            </w:pPr>
            <w:r>
              <w:rPr>
                <w:sz w:val="18"/>
              </w:rPr>
              <w:t>Materijal i sirovine</w:t>
            </w:r>
          </w:p>
        </w:tc>
        <w:tc>
          <w:tcPr>
            <w:tcW w:w="700" w:type="dxa"/>
            <w:tcMar>
              <w:top w:w="0" w:type="dxa"/>
              <w:bottom w:w="0" w:type="dxa"/>
            </w:tcMar>
            <w:vAlign w:val="center"/>
          </w:tcPr>
          <w:p w:rsidR="00367D6F" w:rsidRDefault="006D29F0">
            <w:pPr>
              <w:keepNext/>
              <w:keepLines/>
              <w:spacing w:after="0" w:line="240" w:lineRule="auto"/>
            </w:pPr>
            <w:r>
              <w:rPr>
                <w:sz w:val="18"/>
              </w:rPr>
              <w:t>3222</w:t>
            </w:r>
          </w:p>
        </w:tc>
        <w:tc>
          <w:tcPr>
            <w:tcW w:w="1860" w:type="dxa"/>
            <w:tcMar>
              <w:top w:w="0" w:type="dxa"/>
              <w:bottom w:w="0" w:type="dxa"/>
            </w:tcMar>
            <w:vAlign w:val="center"/>
          </w:tcPr>
          <w:p w:rsidR="00367D6F" w:rsidRDefault="006D29F0">
            <w:pPr>
              <w:keepNext/>
              <w:keepLines/>
              <w:spacing w:after="0" w:line="240" w:lineRule="auto"/>
              <w:jc w:val="right"/>
            </w:pPr>
            <w:r>
              <w:rPr>
                <w:sz w:val="18"/>
              </w:rPr>
              <w:t>55.908,86</w:t>
            </w:r>
          </w:p>
        </w:tc>
        <w:tc>
          <w:tcPr>
            <w:tcW w:w="1860" w:type="dxa"/>
            <w:tcMar>
              <w:top w:w="0" w:type="dxa"/>
              <w:bottom w:w="0" w:type="dxa"/>
            </w:tcMar>
            <w:vAlign w:val="center"/>
          </w:tcPr>
          <w:p w:rsidR="00367D6F" w:rsidRDefault="006D29F0">
            <w:pPr>
              <w:keepNext/>
              <w:keepLines/>
              <w:spacing w:after="0" w:line="240" w:lineRule="auto"/>
              <w:jc w:val="right"/>
            </w:pPr>
            <w:r>
              <w:rPr>
                <w:sz w:val="18"/>
              </w:rPr>
              <w:t>40.392,25</w:t>
            </w:r>
          </w:p>
        </w:tc>
        <w:tc>
          <w:tcPr>
            <w:tcW w:w="700" w:type="dxa"/>
            <w:tcMar>
              <w:top w:w="0" w:type="dxa"/>
              <w:bottom w:w="0" w:type="dxa"/>
            </w:tcMar>
            <w:vAlign w:val="center"/>
          </w:tcPr>
          <w:p w:rsidR="00367D6F" w:rsidRDefault="006D29F0">
            <w:pPr>
              <w:keepNext/>
              <w:keepLines/>
              <w:spacing w:after="0" w:line="240" w:lineRule="auto"/>
              <w:jc w:val="right"/>
            </w:pPr>
            <w:r>
              <w:rPr>
                <w:sz w:val="18"/>
              </w:rPr>
              <w:t>72,2</w:t>
            </w:r>
          </w:p>
        </w:tc>
      </w:tr>
    </w:tbl>
    <w:p w:rsidR="00367D6F" w:rsidRDefault="00367D6F">
      <w:pPr>
        <w:spacing w:after="0"/>
      </w:pPr>
    </w:p>
    <w:p w:rsidR="00367D6F" w:rsidRDefault="006D29F0">
      <w:r>
        <w:t>Rashodi za materijal i sirovine manji su od ostvarenih u 2024. godini radi provedenog postupka javne nabave namirnica za marendu od strane Grada Rijeke čime je postignuta niža cijena namirnica.</w:t>
      </w:r>
    </w:p>
    <w:p w:rsidR="00367D6F" w:rsidRDefault="00367D6F"/>
    <w:p w:rsidR="00367D6F" w:rsidRDefault="006D29F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3223</w:t>
            </w:r>
          </w:p>
        </w:tc>
        <w:tc>
          <w:tcPr>
            <w:tcW w:w="3180" w:type="dxa"/>
            <w:tcMar>
              <w:top w:w="0" w:type="dxa"/>
              <w:bottom w:w="0" w:type="dxa"/>
            </w:tcMar>
            <w:vAlign w:val="center"/>
          </w:tcPr>
          <w:p w:rsidR="00367D6F" w:rsidRDefault="006D29F0">
            <w:pPr>
              <w:keepNext/>
              <w:keepLines/>
              <w:spacing w:after="0" w:line="240" w:lineRule="auto"/>
            </w:pPr>
            <w:r>
              <w:rPr>
                <w:sz w:val="18"/>
              </w:rPr>
              <w:t>Energija</w:t>
            </w:r>
          </w:p>
        </w:tc>
        <w:tc>
          <w:tcPr>
            <w:tcW w:w="700" w:type="dxa"/>
            <w:tcMar>
              <w:top w:w="0" w:type="dxa"/>
              <w:bottom w:w="0" w:type="dxa"/>
            </w:tcMar>
            <w:vAlign w:val="center"/>
          </w:tcPr>
          <w:p w:rsidR="00367D6F" w:rsidRDefault="006D29F0">
            <w:pPr>
              <w:keepNext/>
              <w:keepLines/>
              <w:spacing w:after="0" w:line="240" w:lineRule="auto"/>
            </w:pPr>
            <w:r>
              <w:rPr>
                <w:sz w:val="18"/>
              </w:rPr>
              <w:t>3223</w:t>
            </w:r>
          </w:p>
        </w:tc>
        <w:tc>
          <w:tcPr>
            <w:tcW w:w="1860" w:type="dxa"/>
            <w:tcMar>
              <w:top w:w="0" w:type="dxa"/>
              <w:bottom w:w="0" w:type="dxa"/>
            </w:tcMar>
            <w:vAlign w:val="center"/>
          </w:tcPr>
          <w:p w:rsidR="00367D6F" w:rsidRDefault="006D29F0">
            <w:pPr>
              <w:keepNext/>
              <w:keepLines/>
              <w:spacing w:after="0" w:line="240" w:lineRule="auto"/>
              <w:jc w:val="right"/>
            </w:pPr>
            <w:r>
              <w:rPr>
                <w:sz w:val="18"/>
              </w:rPr>
              <w:t>25.370,69</w:t>
            </w:r>
          </w:p>
        </w:tc>
        <w:tc>
          <w:tcPr>
            <w:tcW w:w="1860" w:type="dxa"/>
            <w:tcMar>
              <w:top w:w="0" w:type="dxa"/>
              <w:bottom w:w="0" w:type="dxa"/>
            </w:tcMar>
            <w:vAlign w:val="center"/>
          </w:tcPr>
          <w:p w:rsidR="00367D6F" w:rsidRDefault="006D29F0">
            <w:pPr>
              <w:keepNext/>
              <w:keepLines/>
              <w:spacing w:after="0" w:line="240" w:lineRule="auto"/>
              <w:jc w:val="right"/>
            </w:pPr>
            <w:r>
              <w:rPr>
                <w:sz w:val="18"/>
              </w:rPr>
              <w:t>30.177,07</w:t>
            </w:r>
          </w:p>
        </w:tc>
        <w:tc>
          <w:tcPr>
            <w:tcW w:w="700" w:type="dxa"/>
            <w:tcMar>
              <w:top w:w="0" w:type="dxa"/>
              <w:bottom w:w="0" w:type="dxa"/>
            </w:tcMar>
            <w:vAlign w:val="center"/>
          </w:tcPr>
          <w:p w:rsidR="00367D6F" w:rsidRDefault="006D29F0">
            <w:pPr>
              <w:keepNext/>
              <w:keepLines/>
              <w:spacing w:after="0" w:line="240" w:lineRule="auto"/>
              <w:jc w:val="right"/>
            </w:pPr>
            <w:r>
              <w:rPr>
                <w:sz w:val="18"/>
              </w:rPr>
              <w:t>118,9</w:t>
            </w:r>
          </w:p>
        </w:tc>
      </w:tr>
    </w:tbl>
    <w:p w:rsidR="00367D6F" w:rsidRDefault="00367D6F">
      <w:pPr>
        <w:spacing w:after="0"/>
      </w:pPr>
    </w:p>
    <w:p w:rsidR="00367D6F" w:rsidRDefault="006D29F0">
      <w:r>
        <w:t>Rashodi za energiju veći su od ostvarenih 2024. godine radi povećanih rashoda za električnu energiju i centralno grijanje.</w:t>
      </w:r>
    </w:p>
    <w:p w:rsidR="00367D6F" w:rsidRDefault="00367D6F"/>
    <w:p w:rsidR="00367D6F" w:rsidRDefault="006D29F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3224</w:t>
            </w:r>
          </w:p>
        </w:tc>
        <w:tc>
          <w:tcPr>
            <w:tcW w:w="3180" w:type="dxa"/>
            <w:tcMar>
              <w:top w:w="0" w:type="dxa"/>
              <w:bottom w:w="0" w:type="dxa"/>
            </w:tcMar>
            <w:vAlign w:val="center"/>
          </w:tcPr>
          <w:p w:rsidR="00367D6F" w:rsidRDefault="006D29F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367D6F" w:rsidRDefault="006D29F0">
            <w:pPr>
              <w:keepNext/>
              <w:keepLines/>
              <w:spacing w:after="0" w:line="240" w:lineRule="auto"/>
            </w:pPr>
            <w:r>
              <w:rPr>
                <w:sz w:val="18"/>
              </w:rPr>
              <w:t>3224</w:t>
            </w:r>
          </w:p>
        </w:tc>
        <w:tc>
          <w:tcPr>
            <w:tcW w:w="1860" w:type="dxa"/>
            <w:tcMar>
              <w:top w:w="0" w:type="dxa"/>
              <w:bottom w:w="0" w:type="dxa"/>
            </w:tcMar>
            <w:vAlign w:val="center"/>
          </w:tcPr>
          <w:p w:rsidR="00367D6F" w:rsidRDefault="006D29F0">
            <w:pPr>
              <w:keepNext/>
              <w:keepLines/>
              <w:spacing w:after="0" w:line="240" w:lineRule="auto"/>
              <w:jc w:val="right"/>
            </w:pPr>
            <w:r>
              <w:rPr>
                <w:sz w:val="18"/>
              </w:rPr>
              <w:t>438,22</w:t>
            </w:r>
          </w:p>
        </w:tc>
        <w:tc>
          <w:tcPr>
            <w:tcW w:w="1860" w:type="dxa"/>
            <w:tcMar>
              <w:top w:w="0" w:type="dxa"/>
              <w:bottom w:w="0" w:type="dxa"/>
            </w:tcMar>
            <w:vAlign w:val="center"/>
          </w:tcPr>
          <w:p w:rsidR="00367D6F" w:rsidRDefault="006D29F0">
            <w:pPr>
              <w:keepNext/>
              <w:keepLines/>
              <w:spacing w:after="0" w:line="240" w:lineRule="auto"/>
              <w:jc w:val="right"/>
            </w:pPr>
            <w:r>
              <w:rPr>
                <w:sz w:val="18"/>
              </w:rPr>
              <w:t>1.244,63</w:t>
            </w:r>
          </w:p>
        </w:tc>
        <w:tc>
          <w:tcPr>
            <w:tcW w:w="700" w:type="dxa"/>
            <w:tcMar>
              <w:top w:w="0" w:type="dxa"/>
              <w:bottom w:w="0" w:type="dxa"/>
            </w:tcMar>
            <w:vAlign w:val="center"/>
          </w:tcPr>
          <w:p w:rsidR="00367D6F" w:rsidRDefault="006D29F0">
            <w:pPr>
              <w:keepNext/>
              <w:keepLines/>
              <w:spacing w:after="0" w:line="240" w:lineRule="auto"/>
              <w:jc w:val="right"/>
            </w:pPr>
            <w:r>
              <w:rPr>
                <w:sz w:val="18"/>
              </w:rPr>
              <w:t>284,0</w:t>
            </w:r>
          </w:p>
        </w:tc>
      </w:tr>
    </w:tbl>
    <w:p w:rsidR="00367D6F" w:rsidRDefault="00367D6F">
      <w:pPr>
        <w:spacing w:after="0"/>
      </w:pPr>
    </w:p>
    <w:p w:rsidR="00367D6F" w:rsidRDefault="006D29F0">
      <w:r>
        <w:t>Rashodi za materijal i dijelove za tekuće i investicijsko održavanje veći su u odnosu na 2024. godinu radi nabave materijala za popravak vrata, brava i slavina te materijala za bojanje učionica.</w:t>
      </w:r>
    </w:p>
    <w:p w:rsidR="00367D6F" w:rsidRDefault="00367D6F"/>
    <w:p w:rsidR="00367D6F" w:rsidRDefault="006D29F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3225</w:t>
            </w:r>
          </w:p>
        </w:tc>
        <w:tc>
          <w:tcPr>
            <w:tcW w:w="3180" w:type="dxa"/>
            <w:tcMar>
              <w:top w:w="0" w:type="dxa"/>
              <w:bottom w:w="0" w:type="dxa"/>
            </w:tcMar>
            <w:vAlign w:val="center"/>
          </w:tcPr>
          <w:p w:rsidR="00367D6F" w:rsidRDefault="006D29F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367D6F" w:rsidRDefault="006D29F0">
            <w:pPr>
              <w:keepNext/>
              <w:keepLines/>
              <w:spacing w:after="0" w:line="240" w:lineRule="auto"/>
            </w:pPr>
            <w:r>
              <w:rPr>
                <w:sz w:val="18"/>
              </w:rPr>
              <w:t>3225</w:t>
            </w:r>
          </w:p>
        </w:tc>
        <w:tc>
          <w:tcPr>
            <w:tcW w:w="1860" w:type="dxa"/>
            <w:tcMar>
              <w:top w:w="0" w:type="dxa"/>
              <w:bottom w:w="0" w:type="dxa"/>
            </w:tcMar>
            <w:vAlign w:val="center"/>
          </w:tcPr>
          <w:p w:rsidR="00367D6F" w:rsidRDefault="006D29F0">
            <w:pPr>
              <w:keepNext/>
              <w:keepLines/>
              <w:spacing w:after="0" w:line="240" w:lineRule="auto"/>
              <w:jc w:val="right"/>
            </w:pPr>
            <w:r>
              <w:rPr>
                <w:sz w:val="18"/>
              </w:rPr>
              <w:t>814,96</w:t>
            </w:r>
          </w:p>
        </w:tc>
        <w:tc>
          <w:tcPr>
            <w:tcW w:w="1860" w:type="dxa"/>
            <w:tcMar>
              <w:top w:w="0" w:type="dxa"/>
              <w:bottom w:w="0" w:type="dxa"/>
            </w:tcMar>
            <w:vAlign w:val="center"/>
          </w:tcPr>
          <w:p w:rsidR="00367D6F" w:rsidRDefault="006D29F0">
            <w:pPr>
              <w:keepNext/>
              <w:keepLines/>
              <w:spacing w:after="0" w:line="240" w:lineRule="auto"/>
              <w:jc w:val="right"/>
            </w:pPr>
            <w:r>
              <w:rPr>
                <w:sz w:val="18"/>
              </w:rPr>
              <w:t>1.109,92</w:t>
            </w:r>
          </w:p>
        </w:tc>
        <w:tc>
          <w:tcPr>
            <w:tcW w:w="700" w:type="dxa"/>
            <w:tcMar>
              <w:top w:w="0" w:type="dxa"/>
              <w:bottom w:w="0" w:type="dxa"/>
            </w:tcMar>
            <w:vAlign w:val="center"/>
          </w:tcPr>
          <w:p w:rsidR="00367D6F" w:rsidRDefault="006D29F0">
            <w:pPr>
              <w:keepNext/>
              <w:keepLines/>
              <w:spacing w:after="0" w:line="240" w:lineRule="auto"/>
              <w:jc w:val="right"/>
            </w:pPr>
            <w:r>
              <w:rPr>
                <w:sz w:val="18"/>
              </w:rPr>
              <w:t>136,2</w:t>
            </w:r>
          </w:p>
        </w:tc>
      </w:tr>
    </w:tbl>
    <w:p w:rsidR="00367D6F" w:rsidRDefault="00367D6F">
      <w:pPr>
        <w:spacing w:after="0"/>
      </w:pPr>
    </w:p>
    <w:p w:rsidR="00367D6F" w:rsidRDefault="006D29F0">
      <w:r>
        <w:t>Rashodi za nabavu sitnog inventara veći su u odnosu na 2024. godinu radi nabave didaktičkih pomagala u okviru projekta rada s darovitim učenicima ( "Sanjaj budućnost").</w:t>
      </w:r>
    </w:p>
    <w:p w:rsidR="00367D6F" w:rsidRDefault="00367D6F"/>
    <w:p w:rsidR="00367D6F" w:rsidRDefault="006D29F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3231</w:t>
            </w:r>
          </w:p>
        </w:tc>
        <w:tc>
          <w:tcPr>
            <w:tcW w:w="3180" w:type="dxa"/>
            <w:tcMar>
              <w:top w:w="0" w:type="dxa"/>
              <w:bottom w:w="0" w:type="dxa"/>
            </w:tcMar>
            <w:vAlign w:val="center"/>
          </w:tcPr>
          <w:p w:rsidR="00367D6F" w:rsidRDefault="006D29F0">
            <w:pPr>
              <w:keepNext/>
              <w:keepLines/>
              <w:spacing w:after="0" w:line="240" w:lineRule="auto"/>
            </w:pPr>
            <w:r>
              <w:rPr>
                <w:sz w:val="18"/>
              </w:rPr>
              <w:t>Usluge telefona, interneta, pošte i prijevoza</w:t>
            </w:r>
          </w:p>
        </w:tc>
        <w:tc>
          <w:tcPr>
            <w:tcW w:w="700" w:type="dxa"/>
            <w:tcMar>
              <w:top w:w="0" w:type="dxa"/>
              <w:bottom w:w="0" w:type="dxa"/>
            </w:tcMar>
            <w:vAlign w:val="center"/>
          </w:tcPr>
          <w:p w:rsidR="00367D6F" w:rsidRDefault="006D29F0">
            <w:pPr>
              <w:keepNext/>
              <w:keepLines/>
              <w:spacing w:after="0" w:line="240" w:lineRule="auto"/>
            </w:pPr>
            <w:r>
              <w:rPr>
                <w:sz w:val="18"/>
              </w:rPr>
              <w:t>3231</w:t>
            </w:r>
          </w:p>
        </w:tc>
        <w:tc>
          <w:tcPr>
            <w:tcW w:w="1860" w:type="dxa"/>
            <w:tcMar>
              <w:top w:w="0" w:type="dxa"/>
              <w:bottom w:w="0" w:type="dxa"/>
            </w:tcMar>
            <w:vAlign w:val="center"/>
          </w:tcPr>
          <w:p w:rsidR="00367D6F" w:rsidRDefault="006D29F0">
            <w:pPr>
              <w:keepNext/>
              <w:keepLines/>
              <w:spacing w:after="0" w:line="240" w:lineRule="auto"/>
              <w:jc w:val="right"/>
            </w:pPr>
            <w:r>
              <w:rPr>
                <w:sz w:val="18"/>
              </w:rPr>
              <w:t>1.163,54</w:t>
            </w:r>
          </w:p>
        </w:tc>
        <w:tc>
          <w:tcPr>
            <w:tcW w:w="1860" w:type="dxa"/>
            <w:tcMar>
              <w:top w:w="0" w:type="dxa"/>
              <w:bottom w:w="0" w:type="dxa"/>
            </w:tcMar>
            <w:vAlign w:val="center"/>
          </w:tcPr>
          <w:p w:rsidR="00367D6F" w:rsidRDefault="006D29F0">
            <w:pPr>
              <w:keepNext/>
              <w:keepLines/>
              <w:spacing w:after="0" w:line="240" w:lineRule="auto"/>
              <w:jc w:val="right"/>
            </w:pPr>
            <w:r>
              <w:rPr>
                <w:sz w:val="18"/>
              </w:rPr>
              <w:t>1.643,44</w:t>
            </w:r>
          </w:p>
        </w:tc>
        <w:tc>
          <w:tcPr>
            <w:tcW w:w="700" w:type="dxa"/>
            <w:tcMar>
              <w:top w:w="0" w:type="dxa"/>
              <w:bottom w:w="0" w:type="dxa"/>
            </w:tcMar>
            <w:vAlign w:val="center"/>
          </w:tcPr>
          <w:p w:rsidR="00367D6F" w:rsidRDefault="006D29F0">
            <w:pPr>
              <w:keepNext/>
              <w:keepLines/>
              <w:spacing w:after="0" w:line="240" w:lineRule="auto"/>
              <w:jc w:val="right"/>
            </w:pPr>
            <w:r>
              <w:rPr>
                <w:sz w:val="18"/>
              </w:rPr>
              <w:t>141,2</w:t>
            </w:r>
          </w:p>
        </w:tc>
      </w:tr>
    </w:tbl>
    <w:p w:rsidR="00367D6F" w:rsidRDefault="00367D6F">
      <w:pPr>
        <w:spacing w:after="0"/>
      </w:pPr>
    </w:p>
    <w:p w:rsidR="00367D6F" w:rsidRDefault="006D29F0">
      <w:r>
        <w:t>Rashodi za usluge telefona, pošte i prijevoza veći su u odnosu na ostvarene u 2024. godini radi povećanih rashoda za uslugu prijevoza učenika za posjet Memorijalnom centru "Lipa pamti".</w:t>
      </w:r>
    </w:p>
    <w:p w:rsidR="00367D6F" w:rsidRDefault="00367D6F"/>
    <w:p w:rsidR="00367D6F" w:rsidRDefault="006D29F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3232</w:t>
            </w:r>
          </w:p>
        </w:tc>
        <w:tc>
          <w:tcPr>
            <w:tcW w:w="3180" w:type="dxa"/>
            <w:tcMar>
              <w:top w:w="0" w:type="dxa"/>
              <w:bottom w:w="0" w:type="dxa"/>
            </w:tcMar>
            <w:vAlign w:val="center"/>
          </w:tcPr>
          <w:p w:rsidR="00367D6F" w:rsidRDefault="006D29F0">
            <w:pPr>
              <w:keepNext/>
              <w:keepLines/>
              <w:spacing w:after="0" w:line="240" w:lineRule="auto"/>
            </w:pPr>
            <w:r>
              <w:rPr>
                <w:sz w:val="18"/>
              </w:rPr>
              <w:t>Usluge tekućeg i investicijskog održavanja</w:t>
            </w:r>
          </w:p>
        </w:tc>
        <w:tc>
          <w:tcPr>
            <w:tcW w:w="700" w:type="dxa"/>
            <w:tcMar>
              <w:top w:w="0" w:type="dxa"/>
              <w:bottom w:w="0" w:type="dxa"/>
            </w:tcMar>
            <w:vAlign w:val="center"/>
          </w:tcPr>
          <w:p w:rsidR="00367D6F" w:rsidRDefault="006D29F0">
            <w:pPr>
              <w:keepNext/>
              <w:keepLines/>
              <w:spacing w:after="0" w:line="240" w:lineRule="auto"/>
            </w:pPr>
            <w:r>
              <w:rPr>
                <w:sz w:val="18"/>
              </w:rPr>
              <w:t>3232</w:t>
            </w:r>
          </w:p>
        </w:tc>
        <w:tc>
          <w:tcPr>
            <w:tcW w:w="1860" w:type="dxa"/>
            <w:tcMar>
              <w:top w:w="0" w:type="dxa"/>
              <w:bottom w:w="0" w:type="dxa"/>
            </w:tcMar>
            <w:vAlign w:val="center"/>
          </w:tcPr>
          <w:p w:rsidR="00367D6F" w:rsidRDefault="006D29F0">
            <w:pPr>
              <w:keepNext/>
              <w:keepLines/>
              <w:spacing w:after="0" w:line="240" w:lineRule="auto"/>
              <w:jc w:val="right"/>
            </w:pPr>
            <w:r>
              <w:rPr>
                <w:sz w:val="18"/>
              </w:rPr>
              <w:t>2.275,70</w:t>
            </w:r>
          </w:p>
        </w:tc>
        <w:tc>
          <w:tcPr>
            <w:tcW w:w="1860" w:type="dxa"/>
            <w:tcMar>
              <w:top w:w="0" w:type="dxa"/>
              <w:bottom w:w="0" w:type="dxa"/>
            </w:tcMar>
            <w:vAlign w:val="center"/>
          </w:tcPr>
          <w:p w:rsidR="00367D6F" w:rsidRDefault="006D29F0">
            <w:pPr>
              <w:keepNext/>
              <w:keepLines/>
              <w:spacing w:after="0" w:line="240" w:lineRule="auto"/>
              <w:jc w:val="right"/>
            </w:pPr>
            <w:r>
              <w:rPr>
                <w:sz w:val="18"/>
              </w:rPr>
              <w:t>14.372,31</w:t>
            </w:r>
          </w:p>
        </w:tc>
        <w:tc>
          <w:tcPr>
            <w:tcW w:w="700" w:type="dxa"/>
            <w:tcMar>
              <w:top w:w="0" w:type="dxa"/>
              <w:bottom w:w="0" w:type="dxa"/>
            </w:tcMar>
            <w:vAlign w:val="center"/>
          </w:tcPr>
          <w:p w:rsidR="00367D6F" w:rsidRDefault="006D29F0">
            <w:pPr>
              <w:keepNext/>
              <w:keepLines/>
              <w:spacing w:after="0" w:line="240" w:lineRule="auto"/>
              <w:jc w:val="right"/>
            </w:pPr>
            <w:r>
              <w:rPr>
                <w:sz w:val="18"/>
              </w:rPr>
              <w:t>631,6</w:t>
            </w:r>
          </w:p>
        </w:tc>
      </w:tr>
    </w:tbl>
    <w:p w:rsidR="00367D6F" w:rsidRDefault="00367D6F">
      <w:pPr>
        <w:spacing w:after="0"/>
      </w:pPr>
    </w:p>
    <w:p w:rsidR="00367D6F" w:rsidRDefault="006D29F0">
      <w:r>
        <w:t>Rashodi za usluge tekućeg i investicijskog održavanja veći su radi ugradnje novih ulaznih vrata u zgradu Škole te popravak video-nadzora, sukladno novim mjerama sigurnosti koje je Škola bila obvezna provesti.</w:t>
      </w:r>
    </w:p>
    <w:p w:rsidR="00367D6F" w:rsidRDefault="00367D6F"/>
    <w:p w:rsidR="00367D6F" w:rsidRDefault="006D29F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3233</w:t>
            </w:r>
          </w:p>
        </w:tc>
        <w:tc>
          <w:tcPr>
            <w:tcW w:w="3180" w:type="dxa"/>
            <w:tcMar>
              <w:top w:w="0" w:type="dxa"/>
              <w:bottom w:w="0" w:type="dxa"/>
            </w:tcMar>
            <w:vAlign w:val="center"/>
          </w:tcPr>
          <w:p w:rsidR="00367D6F" w:rsidRDefault="006D29F0">
            <w:pPr>
              <w:keepNext/>
              <w:keepLines/>
              <w:spacing w:after="0" w:line="240" w:lineRule="auto"/>
            </w:pPr>
            <w:r>
              <w:rPr>
                <w:sz w:val="18"/>
              </w:rPr>
              <w:t>Usluge promidžbe i informiranja</w:t>
            </w:r>
          </w:p>
        </w:tc>
        <w:tc>
          <w:tcPr>
            <w:tcW w:w="700" w:type="dxa"/>
            <w:tcMar>
              <w:top w:w="0" w:type="dxa"/>
              <w:bottom w:w="0" w:type="dxa"/>
            </w:tcMar>
            <w:vAlign w:val="center"/>
          </w:tcPr>
          <w:p w:rsidR="00367D6F" w:rsidRDefault="006D29F0">
            <w:pPr>
              <w:keepNext/>
              <w:keepLines/>
              <w:spacing w:after="0" w:line="240" w:lineRule="auto"/>
            </w:pPr>
            <w:r>
              <w:rPr>
                <w:sz w:val="18"/>
              </w:rPr>
              <w:t>3233</w:t>
            </w:r>
          </w:p>
        </w:tc>
        <w:tc>
          <w:tcPr>
            <w:tcW w:w="1860" w:type="dxa"/>
            <w:tcMar>
              <w:top w:w="0" w:type="dxa"/>
              <w:bottom w:w="0" w:type="dxa"/>
            </w:tcMar>
            <w:vAlign w:val="center"/>
          </w:tcPr>
          <w:p w:rsidR="00367D6F" w:rsidRDefault="006D29F0">
            <w:pPr>
              <w:keepNext/>
              <w:keepLines/>
              <w:spacing w:after="0" w:line="240" w:lineRule="auto"/>
              <w:jc w:val="right"/>
            </w:pPr>
            <w:r>
              <w:rPr>
                <w:sz w:val="18"/>
              </w:rPr>
              <w:t>730,00</w:t>
            </w:r>
          </w:p>
        </w:tc>
        <w:tc>
          <w:tcPr>
            <w:tcW w:w="1860" w:type="dxa"/>
            <w:tcMar>
              <w:top w:w="0" w:type="dxa"/>
              <w:bottom w:w="0" w:type="dxa"/>
            </w:tcMar>
            <w:vAlign w:val="center"/>
          </w:tcPr>
          <w:p w:rsidR="00367D6F" w:rsidRDefault="006D29F0">
            <w:pPr>
              <w:keepNext/>
              <w:keepLines/>
              <w:spacing w:after="0" w:line="240" w:lineRule="auto"/>
              <w:jc w:val="right"/>
            </w:pPr>
            <w:r>
              <w:rPr>
                <w:sz w:val="18"/>
              </w:rPr>
              <w:t>248,85</w:t>
            </w:r>
          </w:p>
        </w:tc>
        <w:tc>
          <w:tcPr>
            <w:tcW w:w="700" w:type="dxa"/>
            <w:tcMar>
              <w:top w:w="0" w:type="dxa"/>
              <w:bottom w:w="0" w:type="dxa"/>
            </w:tcMar>
            <w:vAlign w:val="center"/>
          </w:tcPr>
          <w:p w:rsidR="00367D6F" w:rsidRDefault="006D29F0">
            <w:pPr>
              <w:keepNext/>
              <w:keepLines/>
              <w:spacing w:after="0" w:line="240" w:lineRule="auto"/>
              <w:jc w:val="right"/>
            </w:pPr>
            <w:r>
              <w:rPr>
                <w:sz w:val="18"/>
              </w:rPr>
              <w:t>34,1</w:t>
            </w:r>
          </w:p>
        </w:tc>
      </w:tr>
    </w:tbl>
    <w:p w:rsidR="00367D6F" w:rsidRDefault="00367D6F">
      <w:pPr>
        <w:spacing w:after="0"/>
      </w:pPr>
    </w:p>
    <w:p w:rsidR="00367D6F" w:rsidRDefault="006D29F0">
      <w:r>
        <w:t>Rashodi za usluge promidžbe i informiranja manji su u odnosu na 2024 godinu, budući da je u 2024. godini bio objavljen natječaj za ravnatelja Škole što je utjecalo na povećane rashode na ovoj poziciji.</w:t>
      </w:r>
    </w:p>
    <w:p w:rsidR="00367D6F" w:rsidRDefault="00367D6F"/>
    <w:p w:rsidR="00367D6F" w:rsidRDefault="006D29F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3234</w:t>
            </w:r>
          </w:p>
        </w:tc>
        <w:tc>
          <w:tcPr>
            <w:tcW w:w="3180" w:type="dxa"/>
            <w:tcMar>
              <w:top w:w="0" w:type="dxa"/>
              <w:bottom w:w="0" w:type="dxa"/>
            </w:tcMar>
            <w:vAlign w:val="center"/>
          </w:tcPr>
          <w:p w:rsidR="00367D6F" w:rsidRDefault="006D29F0">
            <w:pPr>
              <w:keepNext/>
              <w:keepLines/>
              <w:spacing w:after="0" w:line="240" w:lineRule="auto"/>
            </w:pPr>
            <w:r>
              <w:rPr>
                <w:sz w:val="18"/>
              </w:rPr>
              <w:t>Komunalne usluge</w:t>
            </w:r>
          </w:p>
        </w:tc>
        <w:tc>
          <w:tcPr>
            <w:tcW w:w="700" w:type="dxa"/>
            <w:tcMar>
              <w:top w:w="0" w:type="dxa"/>
              <w:bottom w:w="0" w:type="dxa"/>
            </w:tcMar>
            <w:vAlign w:val="center"/>
          </w:tcPr>
          <w:p w:rsidR="00367D6F" w:rsidRDefault="006D29F0">
            <w:pPr>
              <w:keepNext/>
              <w:keepLines/>
              <w:spacing w:after="0" w:line="240" w:lineRule="auto"/>
            </w:pPr>
            <w:r>
              <w:rPr>
                <w:sz w:val="18"/>
              </w:rPr>
              <w:t>3234</w:t>
            </w:r>
          </w:p>
        </w:tc>
        <w:tc>
          <w:tcPr>
            <w:tcW w:w="1860" w:type="dxa"/>
            <w:tcMar>
              <w:top w:w="0" w:type="dxa"/>
              <w:bottom w:w="0" w:type="dxa"/>
            </w:tcMar>
            <w:vAlign w:val="center"/>
          </w:tcPr>
          <w:p w:rsidR="00367D6F" w:rsidRDefault="006D29F0">
            <w:pPr>
              <w:keepNext/>
              <w:keepLines/>
              <w:spacing w:after="0" w:line="240" w:lineRule="auto"/>
              <w:jc w:val="right"/>
            </w:pPr>
            <w:r>
              <w:rPr>
                <w:sz w:val="18"/>
              </w:rPr>
              <w:t>3.340,50</w:t>
            </w:r>
          </w:p>
        </w:tc>
        <w:tc>
          <w:tcPr>
            <w:tcW w:w="1860" w:type="dxa"/>
            <w:tcMar>
              <w:top w:w="0" w:type="dxa"/>
              <w:bottom w:w="0" w:type="dxa"/>
            </w:tcMar>
            <w:vAlign w:val="center"/>
          </w:tcPr>
          <w:p w:rsidR="00367D6F" w:rsidRDefault="006D29F0">
            <w:pPr>
              <w:keepNext/>
              <w:keepLines/>
              <w:spacing w:after="0" w:line="240" w:lineRule="auto"/>
              <w:jc w:val="right"/>
            </w:pPr>
            <w:r>
              <w:rPr>
                <w:sz w:val="18"/>
              </w:rPr>
              <w:t>4.370,18</w:t>
            </w:r>
          </w:p>
        </w:tc>
        <w:tc>
          <w:tcPr>
            <w:tcW w:w="700" w:type="dxa"/>
            <w:tcMar>
              <w:top w:w="0" w:type="dxa"/>
              <w:bottom w:w="0" w:type="dxa"/>
            </w:tcMar>
            <w:vAlign w:val="center"/>
          </w:tcPr>
          <w:p w:rsidR="00367D6F" w:rsidRDefault="006D29F0">
            <w:pPr>
              <w:keepNext/>
              <w:keepLines/>
              <w:spacing w:after="0" w:line="240" w:lineRule="auto"/>
              <w:jc w:val="right"/>
            </w:pPr>
            <w:r>
              <w:rPr>
                <w:sz w:val="18"/>
              </w:rPr>
              <w:t>130,8</w:t>
            </w:r>
          </w:p>
        </w:tc>
      </w:tr>
    </w:tbl>
    <w:p w:rsidR="00367D6F" w:rsidRDefault="00367D6F">
      <w:pPr>
        <w:spacing w:after="0"/>
      </w:pPr>
    </w:p>
    <w:p w:rsidR="00367D6F" w:rsidRDefault="006D29F0">
      <w:r>
        <w:t>Rashodi za komunalne usluge veći su u odnosu na ostvarene u 2024. godini radi povećanih rashoda za opskrbu vodom i kanalizaciju.</w:t>
      </w:r>
    </w:p>
    <w:p w:rsidR="00367D6F" w:rsidRDefault="00367D6F"/>
    <w:p w:rsidR="00367D6F" w:rsidRDefault="006D29F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3235</w:t>
            </w:r>
          </w:p>
        </w:tc>
        <w:tc>
          <w:tcPr>
            <w:tcW w:w="3180" w:type="dxa"/>
            <w:tcMar>
              <w:top w:w="0" w:type="dxa"/>
              <w:bottom w:w="0" w:type="dxa"/>
            </w:tcMar>
            <w:vAlign w:val="center"/>
          </w:tcPr>
          <w:p w:rsidR="00367D6F" w:rsidRDefault="006D29F0">
            <w:pPr>
              <w:keepNext/>
              <w:keepLines/>
              <w:spacing w:after="0" w:line="240" w:lineRule="auto"/>
            </w:pPr>
            <w:r>
              <w:rPr>
                <w:sz w:val="18"/>
              </w:rPr>
              <w:t>Zakupnine i najamnine</w:t>
            </w:r>
          </w:p>
        </w:tc>
        <w:tc>
          <w:tcPr>
            <w:tcW w:w="700" w:type="dxa"/>
            <w:tcMar>
              <w:top w:w="0" w:type="dxa"/>
              <w:bottom w:w="0" w:type="dxa"/>
            </w:tcMar>
            <w:vAlign w:val="center"/>
          </w:tcPr>
          <w:p w:rsidR="00367D6F" w:rsidRDefault="006D29F0">
            <w:pPr>
              <w:keepNext/>
              <w:keepLines/>
              <w:spacing w:after="0" w:line="240" w:lineRule="auto"/>
            </w:pPr>
            <w:r>
              <w:rPr>
                <w:sz w:val="18"/>
              </w:rPr>
              <w:t>3235</w:t>
            </w:r>
          </w:p>
        </w:tc>
        <w:tc>
          <w:tcPr>
            <w:tcW w:w="1860" w:type="dxa"/>
            <w:tcMar>
              <w:top w:w="0" w:type="dxa"/>
              <w:bottom w:w="0" w:type="dxa"/>
            </w:tcMar>
            <w:vAlign w:val="center"/>
          </w:tcPr>
          <w:p w:rsidR="00367D6F" w:rsidRDefault="006D29F0">
            <w:pPr>
              <w:keepNext/>
              <w:keepLines/>
              <w:spacing w:after="0" w:line="240" w:lineRule="auto"/>
              <w:jc w:val="right"/>
            </w:pPr>
            <w:r>
              <w:rPr>
                <w:sz w:val="18"/>
              </w:rPr>
              <w:t>1.976,55</w:t>
            </w:r>
          </w:p>
        </w:tc>
        <w:tc>
          <w:tcPr>
            <w:tcW w:w="1860" w:type="dxa"/>
            <w:tcMar>
              <w:top w:w="0" w:type="dxa"/>
              <w:bottom w:w="0" w:type="dxa"/>
            </w:tcMar>
            <w:vAlign w:val="center"/>
          </w:tcPr>
          <w:p w:rsidR="00367D6F" w:rsidRDefault="006D29F0">
            <w:pPr>
              <w:keepNext/>
              <w:keepLines/>
              <w:spacing w:after="0" w:line="240" w:lineRule="auto"/>
              <w:jc w:val="right"/>
            </w:pPr>
            <w:r>
              <w:rPr>
                <w:sz w:val="18"/>
              </w:rPr>
              <w:t>1.717,29</w:t>
            </w:r>
          </w:p>
        </w:tc>
        <w:tc>
          <w:tcPr>
            <w:tcW w:w="700" w:type="dxa"/>
            <w:tcMar>
              <w:top w:w="0" w:type="dxa"/>
              <w:bottom w:w="0" w:type="dxa"/>
            </w:tcMar>
            <w:vAlign w:val="center"/>
          </w:tcPr>
          <w:p w:rsidR="00367D6F" w:rsidRDefault="006D29F0">
            <w:pPr>
              <w:keepNext/>
              <w:keepLines/>
              <w:spacing w:after="0" w:line="240" w:lineRule="auto"/>
              <w:jc w:val="right"/>
            </w:pPr>
            <w:r>
              <w:rPr>
                <w:sz w:val="18"/>
              </w:rPr>
              <w:t>86,9</w:t>
            </w:r>
          </w:p>
        </w:tc>
      </w:tr>
    </w:tbl>
    <w:p w:rsidR="00367D6F" w:rsidRDefault="00367D6F">
      <w:pPr>
        <w:spacing w:after="0"/>
      </w:pPr>
    </w:p>
    <w:p w:rsidR="00367D6F" w:rsidRDefault="006D29F0">
      <w:r>
        <w:t xml:space="preserve">Rashodi za zakupnine i najamnine manji su u odnosu na ostvarene u 2024. godini budući da su tijekom 2024. godine bili nabavljeni program </w:t>
      </w:r>
      <w:proofErr w:type="spellStart"/>
      <w:r>
        <w:t>Timetables</w:t>
      </w:r>
      <w:proofErr w:type="spellEnd"/>
      <w:r>
        <w:t xml:space="preserve"> i FINA certifikat za tajnicu koja je radila kao zamjena.</w:t>
      </w:r>
    </w:p>
    <w:p w:rsidR="00367D6F" w:rsidRDefault="00367D6F"/>
    <w:p w:rsidR="00367D6F" w:rsidRDefault="006D29F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3237</w:t>
            </w:r>
          </w:p>
        </w:tc>
        <w:tc>
          <w:tcPr>
            <w:tcW w:w="3180" w:type="dxa"/>
            <w:tcMar>
              <w:top w:w="0" w:type="dxa"/>
              <w:bottom w:w="0" w:type="dxa"/>
            </w:tcMar>
            <w:vAlign w:val="center"/>
          </w:tcPr>
          <w:p w:rsidR="00367D6F" w:rsidRDefault="006D29F0">
            <w:pPr>
              <w:keepNext/>
              <w:keepLines/>
              <w:spacing w:after="0" w:line="240" w:lineRule="auto"/>
            </w:pPr>
            <w:r>
              <w:rPr>
                <w:sz w:val="18"/>
              </w:rPr>
              <w:t>Intelektualne i osobne usluge</w:t>
            </w:r>
          </w:p>
        </w:tc>
        <w:tc>
          <w:tcPr>
            <w:tcW w:w="700" w:type="dxa"/>
            <w:tcMar>
              <w:top w:w="0" w:type="dxa"/>
              <w:bottom w:w="0" w:type="dxa"/>
            </w:tcMar>
            <w:vAlign w:val="center"/>
          </w:tcPr>
          <w:p w:rsidR="00367D6F" w:rsidRDefault="006D29F0">
            <w:pPr>
              <w:keepNext/>
              <w:keepLines/>
              <w:spacing w:after="0" w:line="240" w:lineRule="auto"/>
            </w:pPr>
            <w:r>
              <w:rPr>
                <w:sz w:val="18"/>
              </w:rPr>
              <w:t>3237</w:t>
            </w:r>
          </w:p>
        </w:tc>
        <w:tc>
          <w:tcPr>
            <w:tcW w:w="1860" w:type="dxa"/>
            <w:tcMar>
              <w:top w:w="0" w:type="dxa"/>
              <w:bottom w:w="0" w:type="dxa"/>
            </w:tcMar>
            <w:vAlign w:val="center"/>
          </w:tcPr>
          <w:p w:rsidR="00367D6F" w:rsidRDefault="006D29F0">
            <w:pPr>
              <w:keepNext/>
              <w:keepLines/>
              <w:spacing w:after="0" w:line="240" w:lineRule="auto"/>
              <w:jc w:val="right"/>
            </w:pPr>
            <w:r>
              <w:rPr>
                <w:sz w:val="18"/>
              </w:rPr>
              <w:t>4.268,93</w:t>
            </w:r>
          </w:p>
        </w:tc>
        <w:tc>
          <w:tcPr>
            <w:tcW w:w="1860" w:type="dxa"/>
            <w:tcMar>
              <w:top w:w="0" w:type="dxa"/>
              <w:bottom w:w="0" w:type="dxa"/>
            </w:tcMar>
            <w:vAlign w:val="center"/>
          </w:tcPr>
          <w:p w:rsidR="00367D6F" w:rsidRDefault="006D29F0">
            <w:pPr>
              <w:keepNext/>
              <w:keepLines/>
              <w:spacing w:after="0" w:line="240" w:lineRule="auto"/>
              <w:jc w:val="right"/>
            </w:pPr>
            <w:r>
              <w:rPr>
                <w:sz w:val="18"/>
              </w:rPr>
              <w:t>688,89</w:t>
            </w:r>
          </w:p>
        </w:tc>
        <w:tc>
          <w:tcPr>
            <w:tcW w:w="700" w:type="dxa"/>
            <w:tcMar>
              <w:top w:w="0" w:type="dxa"/>
              <w:bottom w:w="0" w:type="dxa"/>
            </w:tcMar>
            <w:vAlign w:val="center"/>
          </w:tcPr>
          <w:p w:rsidR="00367D6F" w:rsidRDefault="006D29F0">
            <w:pPr>
              <w:keepNext/>
              <w:keepLines/>
              <w:spacing w:after="0" w:line="240" w:lineRule="auto"/>
              <w:jc w:val="right"/>
            </w:pPr>
            <w:r>
              <w:rPr>
                <w:sz w:val="18"/>
              </w:rPr>
              <w:t>16,1</w:t>
            </w:r>
          </w:p>
        </w:tc>
      </w:tr>
    </w:tbl>
    <w:p w:rsidR="00367D6F" w:rsidRDefault="00367D6F">
      <w:pPr>
        <w:spacing w:after="0"/>
      </w:pPr>
    </w:p>
    <w:p w:rsidR="00367D6F" w:rsidRDefault="006D29F0">
      <w:r>
        <w:t>Rashodi za intelektualne i osobne usluge manji su u odnosu na ostvarene u 2024. godini budući da ove godine uključuju  naknade za izradu sigurnosnog elaborata, usluge pravnog savjetovanja, predavanje na temu rada s darovitim učenicima te postupak javne nabave, a u 2024. godini uključivale su i odvjetničke usluge te naknade vanjskom suradniku za provođenje programa "Moja Rijeka".</w:t>
      </w:r>
    </w:p>
    <w:p w:rsidR="00367D6F" w:rsidRDefault="00367D6F"/>
    <w:p w:rsidR="00367D6F" w:rsidRDefault="006D29F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3294</w:t>
            </w:r>
          </w:p>
        </w:tc>
        <w:tc>
          <w:tcPr>
            <w:tcW w:w="3180" w:type="dxa"/>
            <w:tcMar>
              <w:top w:w="0" w:type="dxa"/>
              <w:bottom w:w="0" w:type="dxa"/>
            </w:tcMar>
            <w:vAlign w:val="center"/>
          </w:tcPr>
          <w:p w:rsidR="00367D6F" w:rsidRDefault="006D29F0">
            <w:pPr>
              <w:keepNext/>
              <w:keepLines/>
              <w:spacing w:after="0" w:line="240" w:lineRule="auto"/>
            </w:pPr>
            <w:r>
              <w:rPr>
                <w:sz w:val="18"/>
              </w:rPr>
              <w:t>Članarine i norme</w:t>
            </w:r>
          </w:p>
        </w:tc>
        <w:tc>
          <w:tcPr>
            <w:tcW w:w="700" w:type="dxa"/>
            <w:tcMar>
              <w:top w:w="0" w:type="dxa"/>
              <w:bottom w:w="0" w:type="dxa"/>
            </w:tcMar>
            <w:vAlign w:val="center"/>
          </w:tcPr>
          <w:p w:rsidR="00367D6F" w:rsidRDefault="006D29F0">
            <w:pPr>
              <w:keepNext/>
              <w:keepLines/>
              <w:spacing w:after="0" w:line="240" w:lineRule="auto"/>
            </w:pPr>
            <w:r>
              <w:rPr>
                <w:sz w:val="18"/>
              </w:rPr>
              <w:t>3294</w:t>
            </w:r>
          </w:p>
        </w:tc>
        <w:tc>
          <w:tcPr>
            <w:tcW w:w="1860" w:type="dxa"/>
            <w:tcMar>
              <w:top w:w="0" w:type="dxa"/>
              <w:bottom w:w="0" w:type="dxa"/>
            </w:tcMar>
            <w:vAlign w:val="center"/>
          </w:tcPr>
          <w:p w:rsidR="00367D6F" w:rsidRDefault="006D29F0">
            <w:pPr>
              <w:keepNext/>
              <w:keepLines/>
              <w:spacing w:after="0" w:line="240" w:lineRule="auto"/>
              <w:jc w:val="right"/>
            </w:pPr>
            <w:r>
              <w:rPr>
                <w:sz w:val="18"/>
              </w:rPr>
              <w:t>188,09</w:t>
            </w:r>
          </w:p>
        </w:tc>
        <w:tc>
          <w:tcPr>
            <w:tcW w:w="1860" w:type="dxa"/>
            <w:tcMar>
              <w:top w:w="0" w:type="dxa"/>
              <w:bottom w:w="0" w:type="dxa"/>
            </w:tcMar>
            <w:vAlign w:val="center"/>
          </w:tcPr>
          <w:p w:rsidR="00367D6F" w:rsidRDefault="006D29F0">
            <w:pPr>
              <w:keepNext/>
              <w:keepLines/>
              <w:spacing w:after="0" w:line="240" w:lineRule="auto"/>
              <w:jc w:val="right"/>
            </w:pPr>
            <w:r>
              <w:rPr>
                <w:sz w:val="18"/>
              </w:rPr>
              <w:t>220,00</w:t>
            </w:r>
          </w:p>
        </w:tc>
        <w:tc>
          <w:tcPr>
            <w:tcW w:w="700" w:type="dxa"/>
            <w:tcMar>
              <w:top w:w="0" w:type="dxa"/>
              <w:bottom w:w="0" w:type="dxa"/>
            </w:tcMar>
            <w:vAlign w:val="center"/>
          </w:tcPr>
          <w:p w:rsidR="00367D6F" w:rsidRDefault="006D29F0">
            <w:pPr>
              <w:keepNext/>
              <w:keepLines/>
              <w:spacing w:after="0" w:line="240" w:lineRule="auto"/>
              <w:jc w:val="right"/>
            </w:pPr>
            <w:r>
              <w:rPr>
                <w:sz w:val="18"/>
              </w:rPr>
              <w:t>117,0</w:t>
            </w:r>
          </w:p>
        </w:tc>
      </w:tr>
    </w:tbl>
    <w:p w:rsidR="00367D6F" w:rsidRDefault="00367D6F">
      <w:pPr>
        <w:spacing w:after="0"/>
      </w:pPr>
    </w:p>
    <w:p w:rsidR="00367D6F" w:rsidRDefault="006D29F0">
      <w:r>
        <w:t>Rashodi za članarine veći su u odnosu na 2024. godinu radi povećanja iznosa članarine u Hrvatskoj udruzi ravnatelja osnovnih škola.</w:t>
      </w:r>
    </w:p>
    <w:p w:rsidR="00367D6F" w:rsidRDefault="00367D6F"/>
    <w:p w:rsidR="00367D6F" w:rsidRDefault="006D29F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3295</w:t>
            </w:r>
          </w:p>
        </w:tc>
        <w:tc>
          <w:tcPr>
            <w:tcW w:w="3180" w:type="dxa"/>
            <w:tcMar>
              <w:top w:w="0" w:type="dxa"/>
              <w:bottom w:w="0" w:type="dxa"/>
            </w:tcMar>
            <w:vAlign w:val="center"/>
          </w:tcPr>
          <w:p w:rsidR="00367D6F" w:rsidRDefault="006D29F0">
            <w:pPr>
              <w:keepNext/>
              <w:keepLines/>
              <w:spacing w:after="0" w:line="240" w:lineRule="auto"/>
            </w:pPr>
            <w:r>
              <w:rPr>
                <w:sz w:val="18"/>
              </w:rPr>
              <w:t>Pristojbe i naknade</w:t>
            </w:r>
          </w:p>
        </w:tc>
        <w:tc>
          <w:tcPr>
            <w:tcW w:w="700" w:type="dxa"/>
            <w:tcMar>
              <w:top w:w="0" w:type="dxa"/>
              <w:bottom w:w="0" w:type="dxa"/>
            </w:tcMar>
            <w:vAlign w:val="center"/>
          </w:tcPr>
          <w:p w:rsidR="00367D6F" w:rsidRDefault="006D29F0">
            <w:pPr>
              <w:keepNext/>
              <w:keepLines/>
              <w:spacing w:after="0" w:line="240" w:lineRule="auto"/>
            </w:pPr>
            <w:r>
              <w:rPr>
                <w:sz w:val="18"/>
              </w:rPr>
              <w:t>3295</w:t>
            </w:r>
          </w:p>
        </w:tc>
        <w:tc>
          <w:tcPr>
            <w:tcW w:w="1860" w:type="dxa"/>
            <w:tcMar>
              <w:top w:w="0" w:type="dxa"/>
              <w:bottom w:w="0" w:type="dxa"/>
            </w:tcMar>
            <w:vAlign w:val="center"/>
          </w:tcPr>
          <w:p w:rsidR="00367D6F" w:rsidRDefault="006D29F0">
            <w:pPr>
              <w:keepNext/>
              <w:keepLines/>
              <w:spacing w:after="0" w:line="240" w:lineRule="auto"/>
              <w:jc w:val="right"/>
            </w:pPr>
            <w:r>
              <w:rPr>
                <w:sz w:val="18"/>
              </w:rPr>
              <w:t>2.211,20</w:t>
            </w:r>
          </w:p>
        </w:tc>
        <w:tc>
          <w:tcPr>
            <w:tcW w:w="1860" w:type="dxa"/>
            <w:tcMar>
              <w:top w:w="0" w:type="dxa"/>
              <w:bottom w:w="0" w:type="dxa"/>
            </w:tcMar>
            <w:vAlign w:val="center"/>
          </w:tcPr>
          <w:p w:rsidR="00367D6F" w:rsidRDefault="006D29F0">
            <w:pPr>
              <w:keepNext/>
              <w:keepLines/>
              <w:spacing w:after="0" w:line="240" w:lineRule="auto"/>
              <w:jc w:val="right"/>
            </w:pPr>
            <w:r>
              <w:rPr>
                <w:sz w:val="18"/>
              </w:rPr>
              <w:t>2.496,00</w:t>
            </w:r>
          </w:p>
        </w:tc>
        <w:tc>
          <w:tcPr>
            <w:tcW w:w="700" w:type="dxa"/>
            <w:tcMar>
              <w:top w:w="0" w:type="dxa"/>
              <w:bottom w:w="0" w:type="dxa"/>
            </w:tcMar>
            <w:vAlign w:val="center"/>
          </w:tcPr>
          <w:p w:rsidR="00367D6F" w:rsidRDefault="006D29F0">
            <w:pPr>
              <w:keepNext/>
              <w:keepLines/>
              <w:spacing w:after="0" w:line="240" w:lineRule="auto"/>
              <w:jc w:val="right"/>
            </w:pPr>
            <w:r>
              <w:rPr>
                <w:sz w:val="18"/>
              </w:rPr>
              <w:t>112,9</w:t>
            </w:r>
          </w:p>
        </w:tc>
      </w:tr>
    </w:tbl>
    <w:p w:rsidR="00367D6F" w:rsidRDefault="00367D6F">
      <w:pPr>
        <w:spacing w:after="0"/>
      </w:pPr>
    </w:p>
    <w:p w:rsidR="00367D6F" w:rsidRDefault="006D29F0">
      <w:r>
        <w:t>Rashodi za pristojbe i naknade su veći u odnosu na 2024. godinu. Naime,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naknada zbog nezapošljavanja osoba s invaliditetom za prosinac 2025. godine, koja se financira iz državnog proračuna, proknjižena kao rashod u mjesecu prosincu 2025. godine, a rashod za naknadu za prosinac 2024. godine bio je knjižen kao rashod siječnja 2025. godine. </w:t>
      </w:r>
    </w:p>
    <w:p w:rsidR="00367D6F" w:rsidRDefault="00367D6F"/>
    <w:p w:rsidR="00367D6F" w:rsidRDefault="006D29F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343</w:t>
            </w:r>
          </w:p>
        </w:tc>
        <w:tc>
          <w:tcPr>
            <w:tcW w:w="3180" w:type="dxa"/>
            <w:tcMar>
              <w:top w:w="0" w:type="dxa"/>
              <w:bottom w:w="0" w:type="dxa"/>
            </w:tcMar>
            <w:vAlign w:val="center"/>
          </w:tcPr>
          <w:p w:rsidR="00367D6F" w:rsidRDefault="006D29F0">
            <w:pPr>
              <w:keepNext/>
              <w:keepLines/>
              <w:spacing w:after="0" w:line="240" w:lineRule="auto"/>
            </w:pPr>
            <w:r>
              <w:rPr>
                <w:sz w:val="18"/>
              </w:rPr>
              <w:t>Ostali financijski rashodi (šifre 3431 do 3434)</w:t>
            </w:r>
          </w:p>
        </w:tc>
        <w:tc>
          <w:tcPr>
            <w:tcW w:w="700" w:type="dxa"/>
            <w:tcMar>
              <w:top w:w="0" w:type="dxa"/>
              <w:bottom w:w="0" w:type="dxa"/>
            </w:tcMar>
            <w:vAlign w:val="center"/>
          </w:tcPr>
          <w:p w:rsidR="00367D6F" w:rsidRDefault="006D29F0">
            <w:pPr>
              <w:keepNext/>
              <w:keepLines/>
              <w:spacing w:after="0" w:line="240" w:lineRule="auto"/>
            </w:pPr>
            <w:r>
              <w:rPr>
                <w:sz w:val="18"/>
              </w:rPr>
              <w:t>343</w:t>
            </w:r>
          </w:p>
        </w:tc>
        <w:tc>
          <w:tcPr>
            <w:tcW w:w="1860" w:type="dxa"/>
            <w:tcMar>
              <w:top w:w="0" w:type="dxa"/>
              <w:bottom w:w="0" w:type="dxa"/>
            </w:tcMar>
            <w:vAlign w:val="center"/>
          </w:tcPr>
          <w:p w:rsidR="00367D6F" w:rsidRDefault="006D29F0">
            <w:pPr>
              <w:keepNext/>
              <w:keepLines/>
              <w:spacing w:after="0" w:line="240" w:lineRule="auto"/>
              <w:jc w:val="right"/>
            </w:pPr>
            <w:r>
              <w:rPr>
                <w:sz w:val="18"/>
              </w:rPr>
              <w:t>465,47</w:t>
            </w:r>
          </w:p>
        </w:tc>
        <w:tc>
          <w:tcPr>
            <w:tcW w:w="1860" w:type="dxa"/>
            <w:tcMar>
              <w:top w:w="0" w:type="dxa"/>
              <w:bottom w:w="0" w:type="dxa"/>
            </w:tcMar>
            <w:vAlign w:val="center"/>
          </w:tcPr>
          <w:p w:rsidR="00367D6F" w:rsidRDefault="006D29F0">
            <w:pPr>
              <w:keepNext/>
              <w:keepLines/>
              <w:spacing w:after="0" w:line="240" w:lineRule="auto"/>
              <w:jc w:val="right"/>
            </w:pPr>
            <w:r>
              <w:rPr>
                <w:sz w:val="18"/>
              </w:rPr>
              <w:t>189,56</w:t>
            </w:r>
          </w:p>
        </w:tc>
        <w:tc>
          <w:tcPr>
            <w:tcW w:w="700" w:type="dxa"/>
            <w:tcMar>
              <w:top w:w="0" w:type="dxa"/>
              <w:bottom w:w="0" w:type="dxa"/>
            </w:tcMar>
            <w:vAlign w:val="center"/>
          </w:tcPr>
          <w:p w:rsidR="00367D6F" w:rsidRDefault="006D29F0">
            <w:pPr>
              <w:keepNext/>
              <w:keepLines/>
              <w:spacing w:after="0" w:line="240" w:lineRule="auto"/>
              <w:jc w:val="right"/>
            </w:pPr>
            <w:r>
              <w:rPr>
                <w:sz w:val="18"/>
              </w:rPr>
              <w:t>40,7</w:t>
            </w:r>
          </w:p>
        </w:tc>
      </w:tr>
    </w:tbl>
    <w:p w:rsidR="00367D6F" w:rsidRDefault="00367D6F">
      <w:pPr>
        <w:spacing w:after="0"/>
      </w:pPr>
    </w:p>
    <w:p w:rsidR="00367D6F" w:rsidRDefault="006D29F0">
      <w:r>
        <w:t xml:space="preserve">Ostali financijski rashodi su manji u odnosu na 2024. godinu radi toga što u 2025. godini uključuju isključivo rashode za usluge platnog prometa i u malom iznosu zatezne kamate. Naime, u 2024. godini Škola je imala isplatu po </w:t>
      </w:r>
      <w:proofErr w:type="spellStart"/>
      <w:r>
        <w:t>vansudskoj</w:t>
      </w:r>
      <w:proofErr w:type="spellEnd"/>
      <w:r>
        <w:t xml:space="preserve"> nagodbi što je povećalo financijske rashode, naročito po osnovi zateznih kamata.</w:t>
      </w:r>
    </w:p>
    <w:p w:rsidR="00367D6F" w:rsidRDefault="00367D6F"/>
    <w:p w:rsidR="00367D6F" w:rsidRDefault="006D29F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3431</w:t>
            </w:r>
          </w:p>
        </w:tc>
        <w:tc>
          <w:tcPr>
            <w:tcW w:w="3180" w:type="dxa"/>
            <w:tcMar>
              <w:top w:w="0" w:type="dxa"/>
              <w:bottom w:w="0" w:type="dxa"/>
            </w:tcMar>
            <w:vAlign w:val="center"/>
          </w:tcPr>
          <w:p w:rsidR="00367D6F" w:rsidRDefault="006D29F0">
            <w:pPr>
              <w:keepNext/>
              <w:keepLines/>
              <w:spacing w:after="0" w:line="240" w:lineRule="auto"/>
            </w:pPr>
            <w:r>
              <w:rPr>
                <w:sz w:val="18"/>
              </w:rPr>
              <w:t>Bankarske usluge i usluge platnog prometa</w:t>
            </w:r>
          </w:p>
        </w:tc>
        <w:tc>
          <w:tcPr>
            <w:tcW w:w="700" w:type="dxa"/>
            <w:tcMar>
              <w:top w:w="0" w:type="dxa"/>
              <w:bottom w:w="0" w:type="dxa"/>
            </w:tcMar>
            <w:vAlign w:val="center"/>
          </w:tcPr>
          <w:p w:rsidR="00367D6F" w:rsidRDefault="006D29F0">
            <w:pPr>
              <w:keepNext/>
              <w:keepLines/>
              <w:spacing w:after="0" w:line="240" w:lineRule="auto"/>
            </w:pPr>
            <w:r>
              <w:rPr>
                <w:sz w:val="18"/>
              </w:rPr>
              <w:t>3431</w:t>
            </w:r>
          </w:p>
        </w:tc>
        <w:tc>
          <w:tcPr>
            <w:tcW w:w="1860" w:type="dxa"/>
            <w:tcMar>
              <w:top w:w="0" w:type="dxa"/>
              <w:bottom w:w="0" w:type="dxa"/>
            </w:tcMar>
            <w:vAlign w:val="center"/>
          </w:tcPr>
          <w:p w:rsidR="00367D6F" w:rsidRDefault="006D29F0">
            <w:pPr>
              <w:keepNext/>
              <w:keepLines/>
              <w:spacing w:after="0" w:line="240" w:lineRule="auto"/>
              <w:jc w:val="right"/>
            </w:pPr>
            <w:r>
              <w:rPr>
                <w:sz w:val="18"/>
              </w:rPr>
              <w:t>124,85</w:t>
            </w:r>
          </w:p>
        </w:tc>
        <w:tc>
          <w:tcPr>
            <w:tcW w:w="1860" w:type="dxa"/>
            <w:tcMar>
              <w:top w:w="0" w:type="dxa"/>
              <w:bottom w:w="0" w:type="dxa"/>
            </w:tcMar>
            <w:vAlign w:val="center"/>
          </w:tcPr>
          <w:p w:rsidR="00367D6F" w:rsidRDefault="006D29F0">
            <w:pPr>
              <w:keepNext/>
              <w:keepLines/>
              <w:spacing w:after="0" w:line="240" w:lineRule="auto"/>
              <w:jc w:val="right"/>
            </w:pPr>
            <w:r>
              <w:rPr>
                <w:sz w:val="18"/>
              </w:rPr>
              <w:t>186,81</w:t>
            </w:r>
          </w:p>
        </w:tc>
        <w:tc>
          <w:tcPr>
            <w:tcW w:w="700" w:type="dxa"/>
            <w:tcMar>
              <w:top w:w="0" w:type="dxa"/>
              <w:bottom w:w="0" w:type="dxa"/>
            </w:tcMar>
            <w:vAlign w:val="center"/>
          </w:tcPr>
          <w:p w:rsidR="00367D6F" w:rsidRDefault="006D29F0">
            <w:pPr>
              <w:keepNext/>
              <w:keepLines/>
              <w:spacing w:after="0" w:line="240" w:lineRule="auto"/>
              <w:jc w:val="right"/>
            </w:pPr>
            <w:r>
              <w:rPr>
                <w:sz w:val="18"/>
              </w:rPr>
              <w:t>149,6</w:t>
            </w:r>
          </w:p>
        </w:tc>
      </w:tr>
    </w:tbl>
    <w:p w:rsidR="00367D6F" w:rsidRDefault="00367D6F">
      <w:pPr>
        <w:spacing w:after="0"/>
      </w:pPr>
    </w:p>
    <w:p w:rsidR="00367D6F" w:rsidRDefault="006D29F0">
      <w:r>
        <w:t xml:space="preserve">Ostali financijski rashodi su manji u odnosu na 2024. godinu radi toga što u 2025. godini uključuju isključivo rashode za usluge platnog prometa i u malom iznosu zatezne kamate. Naime, u 2024. godini Škola je imala isplatu po </w:t>
      </w:r>
      <w:proofErr w:type="spellStart"/>
      <w:r>
        <w:t>vansudskoj</w:t>
      </w:r>
      <w:proofErr w:type="spellEnd"/>
      <w:r>
        <w:t xml:space="preserve"> nagodbi što je povećalo financijske rashode, naročito po osnovi zateznih kamata.</w:t>
      </w:r>
    </w:p>
    <w:p w:rsidR="00367D6F" w:rsidRDefault="00367D6F"/>
    <w:p w:rsidR="00367D6F" w:rsidRDefault="006D29F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3433</w:t>
            </w:r>
          </w:p>
        </w:tc>
        <w:tc>
          <w:tcPr>
            <w:tcW w:w="3180" w:type="dxa"/>
            <w:tcMar>
              <w:top w:w="0" w:type="dxa"/>
              <w:bottom w:w="0" w:type="dxa"/>
            </w:tcMar>
            <w:vAlign w:val="center"/>
          </w:tcPr>
          <w:p w:rsidR="00367D6F" w:rsidRDefault="006D29F0">
            <w:pPr>
              <w:keepNext/>
              <w:keepLines/>
              <w:spacing w:after="0" w:line="240" w:lineRule="auto"/>
            </w:pPr>
            <w:r>
              <w:rPr>
                <w:sz w:val="18"/>
              </w:rPr>
              <w:t>Zatezne kamate</w:t>
            </w:r>
          </w:p>
        </w:tc>
        <w:tc>
          <w:tcPr>
            <w:tcW w:w="700" w:type="dxa"/>
            <w:tcMar>
              <w:top w:w="0" w:type="dxa"/>
              <w:bottom w:w="0" w:type="dxa"/>
            </w:tcMar>
            <w:vAlign w:val="center"/>
          </w:tcPr>
          <w:p w:rsidR="00367D6F" w:rsidRDefault="006D29F0">
            <w:pPr>
              <w:keepNext/>
              <w:keepLines/>
              <w:spacing w:after="0" w:line="240" w:lineRule="auto"/>
            </w:pPr>
            <w:r>
              <w:rPr>
                <w:sz w:val="18"/>
              </w:rPr>
              <w:t>3433</w:t>
            </w:r>
          </w:p>
        </w:tc>
        <w:tc>
          <w:tcPr>
            <w:tcW w:w="1860" w:type="dxa"/>
            <w:tcMar>
              <w:top w:w="0" w:type="dxa"/>
              <w:bottom w:w="0" w:type="dxa"/>
            </w:tcMar>
            <w:vAlign w:val="center"/>
          </w:tcPr>
          <w:p w:rsidR="00367D6F" w:rsidRDefault="006D29F0">
            <w:pPr>
              <w:keepNext/>
              <w:keepLines/>
              <w:spacing w:after="0" w:line="240" w:lineRule="auto"/>
              <w:jc w:val="right"/>
            </w:pPr>
            <w:r>
              <w:rPr>
                <w:sz w:val="18"/>
              </w:rPr>
              <w:t>340,62</w:t>
            </w:r>
          </w:p>
        </w:tc>
        <w:tc>
          <w:tcPr>
            <w:tcW w:w="1860" w:type="dxa"/>
            <w:tcMar>
              <w:top w:w="0" w:type="dxa"/>
              <w:bottom w:w="0" w:type="dxa"/>
            </w:tcMar>
            <w:vAlign w:val="center"/>
          </w:tcPr>
          <w:p w:rsidR="00367D6F" w:rsidRDefault="006D29F0">
            <w:pPr>
              <w:keepNext/>
              <w:keepLines/>
              <w:spacing w:after="0" w:line="240" w:lineRule="auto"/>
              <w:jc w:val="right"/>
            </w:pPr>
            <w:r>
              <w:rPr>
                <w:sz w:val="18"/>
              </w:rPr>
              <w:t>2,75</w:t>
            </w:r>
          </w:p>
        </w:tc>
        <w:tc>
          <w:tcPr>
            <w:tcW w:w="700" w:type="dxa"/>
            <w:tcMar>
              <w:top w:w="0" w:type="dxa"/>
              <w:bottom w:w="0" w:type="dxa"/>
            </w:tcMar>
            <w:vAlign w:val="center"/>
          </w:tcPr>
          <w:p w:rsidR="00367D6F" w:rsidRDefault="006D29F0">
            <w:pPr>
              <w:keepNext/>
              <w:keepLines/>
              <w:spacing w:after="0" w:line="240" w:lineRule="auto"/>
              <w:jc w:val="right"/>
            </w:pPr>
            <w:r>
              <w:rPr>
                <w:sz w:val="18"/>
              </w:rPr>
              <w:t>0,8</w:t>
            </w:r>
          </w:p>
        </w:tc>
      </w:tr>
    </w:tbl>
    <w:p w:rsidR="00367D6F" w:rsidRDefault="00367D6F">
      <w:pPr>
        <w:spacing w:after="0"/>
      </w:pPr>
    </w:p>
    <w:p w:rsidR="00367D6F" w:rsidRDefault="006D29F0">
      <w:r>
        <w:t xml:space="preserve">Ostali financijski rashodi su manji u odnosu na 2024. godinu radi toga što u 2025. godini uključuju isključivo rashode za usluge platnog prometa i u malom iznosu zatezne kamate. Naime, u 2024. godini Škola je imala isplatu po </w:t>
      </w:r>
      <w:proofErr w:type="spellStart"/>
      <w:r>
        <w:t>vansudskoj</w:t>
      </w:r>
      <w:proofErr w:type="spellEnd"/>
      <w:r>
        <w:t xml:space="preserve"> nagodbi što je povećalo financijske rashode, naročito po osnovi zateznih kamata.</w:t>
      </w:r>
    </w:p>
    <w:p w:rsidR="00367D6F" w:rsidRDefault="00367D6F"/>
    <w:p w:rsidR="00367D6F" w:rsidRDefault="006D29F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3722</w:t>
            </w:r>
          </w:p>
        </w:tc>
        <w:tc>
          <w:tcPr>
            <w:tcW w:w="3180" w:type="dxa"/>
            <w:tcMar>
              <w:top w:w="0" w:type="dxa"/>
              <w:bottom w:w="0" w:type="dxa"/>
            </w:tcMar>
            <w:vAlign w:val="center"/>
          </w:tcPr>
          <w:p w:rsidR="00367D6F" w:rsidRDefault="006D29F0">
            <w:pPr>
              <w:keepNext/>
              <w:keepLines/>
              <w:spacing w:after="0" w:line="240" w:lineRule="auto"/>
            </w:pPr>
            <w:r>
              <w:rPr>
                <w:sz w:val="18"/>
              </w:rPr>
              <w:t>Naknade građanima i kućanstvima u naravi</w:t>
            </w:r>
          </w:p>
        </w:tc>
        <w:tc>
          <w:tcPr>
            <w:tcW w:w="700" w:type="dxa"/>
            <w:tcMar>
              <w:top w:w="0" w:type="dxa"/>
              <w:bottom w:w="0" w:type="dxa"/>
            </w:tcMar>
            <w:vAlign w:val="center"/>
          </w:tcPr>
          <w:p w:rsidR="00367D6F" w:rsidRDefault="006D29F0">
            <w:pPr>
              <w:keepNext/>
              <w:keepLines/>
              <w:spacing w:after="0" w:line="240" w:lineRule="auto"/>
            </w:pPr>
            <w:r>
              <w:rPr>
                <w:sz w:val="18"/>
              </w:rPr>
              <w:t>3722</w:t>
            </w:r>
          </w:p>
        </w:tc>
        <w:tc>
          <w:tcPr>
            <w:tcW w:w="1860" w:type="dxa"/>
            <w:tcMar>
              <w:top w:w="0" w:type="dxa"/>
              <w:bottom w:w="0" w:type="dxa"/>
            </w:tcMar>
            <w:vAlign w:val="center"/>
          </w:tcPr>
          <w:p w:rsidR="00367D6F" w:rsidRDefault="006D29F0">
            <w:pPr>
              <w:keepNext/>
              <w:keepLines/>
              <w:spacing w:after="0" w:line="240" w:lineRule="auto"/>
              <w:jc w:val="right"/>
            </w:pPr>
            <w:r>
              <w:rPr>
                <w:sz w:val="18"/>
              </w:rPr>
              <w:t>24.387,91</w:t>
            </w:r>
          </w:p>
        </w:tc>
        <w:tc>
          <w:tcPr>
            <w:tcW w:w="1860" w:type="dxa"/>
            <w:tcMar>
              <w:top w:w="0" w:type="dxa"/>
              <w:bottom w:w="0" w:type="dxa"/>
            </w:tcMar>
            <w:vAlign w:val="center"/>
          </w:tcPr>
          <w:p w:rsidR="00367D6F" w:rsidRDefault="006D29F0">
            <w:pPr>
              <w:keepNext/>
              <w:keepLines/>
              <w:spacing w:after="0" w:line="240" w:lineRule="auto"/>
              <w:jc w:val="right"/>
            </w:pPr>
            <w:r>
              <w:rPr>
                <w:sz w:val="18"/>
              </w:rPr>
              <w:t>28.636,09</w:t>
            </w:r>
          </w:p>
        </w:tc>
        <w:tc>
          <w:tcPr>
            <w:tcW w:w="700" w:type="dxa"/>
            <w:tcMar>
              <w:top w:w="0" w:type="dxa"/>
              <w:bottom w:w="0" w:type="dxa"/>
            </w:tcMar>
            <w:vAlign w:val="center"/>
          </w:tcPr>
          <w:p w:rsidR="00367D6F" w:rsidRDefault="006D29F0">
            <w:pPr>
              <w:keepNext/>
              <w:keepLines/>
              <w:spacing w:after="0" w:line="240" w:lineRule="auto"/>
              <w:jc w:val="right"/>
            </w:pPr>
            <w:r>
              <w:rPr>
                <w:sz w:val="18"/>
              </w:rPr>
              <w:t>117,4</w:t>
            </w:r>
          </w:p>
        </w:tc>
      </w:tr>
    </w:tbl>
    <w:p w:rsidR="00367D6F" w:rsidRDefault="00367D6F">
      <w:pPr>
        <w:spacing w:after="0"/>
      </w:pPr>
    </w:p>
    <w:p w:rsidR="00367D6F" w:rsidRDefault="006D29F0">
      <w:r>
        <w:t>Rashodi za naknade građanima i kućanstvima u naravi se odnose na nabavu radnih udžbenika i radnih bilježnica za učenike. Budući da je Škola imala veći broj učenika u odnosu na godinu ranije, porasli su i rashodi nabave.</w:t>
      </w:r>
    </w:p>
    <w:p w:rsidR="00367D6F" w:rsidRDefault="00367D6F"/>
    <w:p w:rsidR="00367D6F" w:rsidRDefault="006D29F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38</w:t>
            </w:r>
          </w:p>
        </w:tc>
        <w:tc>
          <w:tcPr>
            <w:tcW w:w="3180" w:type="dxa"/>
            <w:tcMar>
              <w:top w:w="0" w:type="dxa"/>
              <w:bottom w:w="0" w:type="dxa"/>
            </w:tcMar>
            <w:vAlign w:val="center"/>
          </w:tcPr>
          <w:p w:rsidR="00367D6F" w:rsidRDefault="006D29F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367D6F" w:rsidRDefault="006D29F0">
            <w:pPr>
              <w:keepNext/>
              <w:keepLines/>
              <w:spacing w:after="0" w:line="240" w:lineRule="auto"/>
            </w:pPr>
            <w:r>
              <w:rPr>
                <w:sz w:val="18"/>
              </w:rPr>
              <w:t>38</w:t>
            </w:r>
          </w:p>
        </w:tc>
        <w:tc>
          <w:tcPr>
            <w:tcW w:w="1860" w:type="dxa"/>
            <w:tcMar>
              <w:top w:w="0" w:type="dxa"/>
              <w:bottom w:w="0" w:type="dxa"/>
            </w:tcMar>
            <w:vAlign w:val="center"/>
          </w:tcPr>
          <w:p w:rsidR="00367D6F" w:rsidRDefault="006D29F0">
            <w:pPr>
              <w:keepNext/>
              <w:keepLines/>
              <w:spacing w:after="0" w:line="240" w:lineRule="auto"/>
              <w:jc w:val="right"/>
            </w:pPr>
            <w:r>
              <w:rPr>
                <w:sz w:val="18"/>
              </w:rPr>
              <w:t>535,50</w:t>
            </w:r>
          </w:p>
        </w:tc>
        <w:tc>
          <w:tcPr>
            <w:tcW w:w="1860" w:type="dxa"/>
            <w:tcMar>
              <w:top w:w="0" w:type="dxa"/>
              <w:bottom w:w="0" w:type="dxa"/>
            </w:tcMar>
            <w:vAlign w:val="center"/>
          </w:tcPr>
          <w:p w:rsidR="00367D6F" w:rsidRDefault="006D29F0">
            <w:pPr>
              <w:keepNext/>
              <w:keepLines/>
              <w:spacing w:after="0" w:line="240" w:lineRule="auto"/>
              <w:jc w:val="right"/>
            </w:pPr>
            <w:r>
              <w:rPr>
                <w:sz w:val="18"/>
              </w:rPr>
              <w:t>508,50</w:t>
            </w:r>
          </w:p>
        </w:tc>
        <w:tc>
          <w:tcPr>
            <w:tcW w:w="700" w:type="dxa"/>
            <w:tcMar>
              <w:top w:w="0" w:type="dxa"/>
              <w:bottom w:w="0" w:type="dxa"/>
            </w:tcMar>
            <w:vAlign w:val="center"/>
          </w:tcPr>
          <w:p w:rsidR="00367D6F" w:rsidRDefault="006D29F0">
            <w:pPr>
              <w:keepNext/>
              <w:keepLines/>
              <w:spacing w:after="0" w:line="240" w:lineRule="auto"/>
              <w:jc w:val="right"/>
            </w:pPr>
            <w:r>
              <w:rPr>
                <w:sz w:val="18"/>
              </w:rPr>
              <w:t>95,0</w:t>
            </w:r>
          </w:p>
        </w:tc>
      </w:tr>
    </w:tbl>
    <w:p w:rsidR="00367D6F" w:rsidRDefault="00367D6F">
      <w:pPr>
        <w:spacing w:after="0"/>
      </w:pPr>
    </w:p>
    <w:p w:rsidR="00367D6F" w:rsidRDefault="006D29F0">
      <w:r>
        <w:t>Tekuće donacije u naravi odnose se na nabavu higijenskih uložaka za učenice.</w:t>
      </w:r>
    </w:p>
    <w:p w:rsidR="00367D6F" w:rsidRDefault="00367D6F"/>
    <w:p w:rsidR="00367D6F" w:rsidRDefault="006D29F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381</w:t>
            </w:r>
          </w:p>
        </w:tc>
        <w:tc>
          <w:tcPr>
            <w:tcW w:w="3180" w:type="dxa"/>
            <w:tcMar>
              <w:top w:w="0" w:type="dxa"/>
              <w:bottom w:w="0" w:type="dxa"/>
            </w:tcMar>
            <w:vAlign w:val="center"/>
          </w:tcPr>
          <w:p w:rsidR="00367D6F" w:rsidRDefault="006D29F0">
            <w:pPr>
              <w:keepNext/>
              <w:keepLines/>
              <w:spacing w:after="0" w:line="240" w:lineRule="auto"/>
            </w:pPr>
            <w:r>
              <w:rPr>
                <w:sz w:val="18"/>
              </w:rPr>
              <w:t>Tekuće donacije (šifre 3811 do 3813)</w:t>
            </w:r>
          </w:p>
        </w:tc>
        <w:tc>
          <w:tcPr>
            <w:tcW w:w="700" w:type="dxa"/>
            <w:tcMar>
              <w:top w:w="0" w:type="dxa"/>
              <w:bottom w:w="0" w:type="dxa"/>
            </w:tcMar>
            <w:vAlign w:val="center"/>
          </w:tcPr>
          <w:p w:rsidR="00367D6F" w:rsidRDefault="006D29F0">
            <w:pPr>
              <w:keepNext/>
              <w:keepLines/>
              <w:spacing w:after="0" w:line="240" w:lineRule="auto"/>
            </w:pPr>
            <w:r>
              <w:rPr>
                <w:sz w:val="18"/>
              </w:rPr>
              <w:t>381</w:t>
            </w:r>
          </w:p>
        </w:tc>
        <w:tc>
          <w:tcPr>
            <w:tcW w:w="1860" w:type="dxa"/>
            <w:tcMar>
              <w:top w:w="0" w:type="dxa"/>
              <w:bottom w:w="0" w:type="dxa"/>
            </w:tcMar>
            <w:vAlign w:val="center"/>
          </w:tcPr>
          <w:p w:rsidR="00367D6F" w:rsidRDefault="006D29F0">
            <w:pPr>
              <w:keepNext/>
              <w:keepLines/>
              <w:spacing w:after="0" w:line="240" w:lineRule="auto"/>
              <w:jc w:val="right"/>
            </w:pPr>
            <w:r>
              <w:rPr>
                <w:sz w:val="18"/>
              </w:rPr>
              <w:t>535,50</w:t>
            </w:r>
          </w:p>
        </w:tc>
        <w:tc>
          <w:tcPr>
            <w:tcW w:w="1860" w:type="dxa"/>
            <w:tcMar>
              <w:top w:w="0" w:type="dxa"/>
              <w:bottom w:w="0" w:type="dxa"/>
            </w:tcMar>
            <w:vAlign w:val="center"/>
          </w:tcPr>
          <w:p w:rsidR="00367D6F" w:rsidRDefault="006D29F0">
            <w:pPr>
              <w:keepNext/>
              <w:keepLines/>
              <w:spacing w:after="0" w:line="240" w:lineRule="auto"/>
              <w:jc w:val="right"/>
            </w:pPr>
            <w:r>
              <w:rPr>
                <w:sz w:val="18"/>
              </w:rPr>
              <w:t>508,50</w:t>
            </w:r>
          </w:p>
        </w:tc>
        <w:tc>
          <w:tcPr>
            <w:tcW w:w="700" w:type="dxa"/>
            <w:tcMar>
              <w:top w:w="0" w:type="dxa"/>
              <w:bottom w:w="0" w:type="dxa"/>
            </w:tcMar>
            <w:vAlign w:val="center"/>
          </w:tcPr>
          <w:p w:rsidR="00367D6F" w:rsidRDefault="006D29F0">
            <w:pPr>
              <w:keepNext/>
              <w:keepLines/>
              <w:spacing w:after="0" w:line="240" w:lineRule="auto"/>
              <w:jc w:val="right"/>
            </w:pPr>
            <w:r>
              <w:rPr>
                <w:sz w:val="18"/>
              </w:rPr>
              <w:t>95,0</w:t>
            </w:r>
          </w:p>
        </w:tc>
      </w:tr>
    </w:tbl>
    <w:p w:rsidR="00367D6F" w:rsidRDefault="00367D6F">
      <w:pPr>
        <w:spacing w:after="0"/>
      </w:pPr>
    </w:p>
    <w:p w:rsidR="00367D6F" w:rsidRDefault="006D29F0">
      <w:r>
        <w:t>Tekuće donacije u naravi odnose se na nabavu higijenskih uložaka za učenice.</w:t>
      </w:r>
    </w:p>
    <w:p w:rsidR="00367D6F" w:rsidRDefault="00367D6F"/>
    <w:p w:rsidR="00367D6F" w:rsidRDefault="006D29F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3812</w:t>
            </w:r>
          </w:p>
        </w:tc>
        <w:tc>
          <w:tcPr>
            <w:tcW w:w="3180" w:type="dxa"/>
            <w:tcMar>
              <w:top w:w="0" w:type="dxa"/>
              <w:bottom w:w="0" w:type="dxa"/>
            </w:tcMar>
            <w:vAlign w:val="center"/>
          </w:tcPr>
          <w:p w:rsidR="00367D6F" w:rsidRDefault="006D29F0">
            <w:pPr>
              <w:keepNext/>
              <w:keepLines/>
              <w:spacing w:after="0" w:line="240" w:lineRule="auto"/>
            </w:pPr>
            <w:r>
              <w:rPr>
                <w:sz w:val="18"/>
              </w:rPr>
              <w:t>Tekuće donacije u naravi</w:t>
            </w:r>
          </w:p>
        </w:tc>
        <w:tc>
          <w:tcPr>
            <w:tcW w:w="700" w:type="dxa"/>
            <w:tcMar>
              <w:top w:w="0" w:type="dxa"/>
              <w:bottom w:w="0" w:type="dxa"/>
            </w:tcMar>
            <w:vAlign w:val="center"/>
          </w:tcPr>
          <w:p w:rsidR="00367D6F" w:rsidRDefault="006D29F0">
            <w:pPr>
              <w:keepNext/>
              <w:keepLines/>
              <w:spacing w:after="0" w:line="240" w:lineRule="auto"/>
            </w:pPr>
            <w:r>
              <w:rPr>
                <w:sz w:val="18"/>
              </w:rPr>
              <w:t>3812</w:t>
            </w:r>
          </w:p>
        </w:tc>
        <w:tc>
          <w:tcPr>
            <w:tcW w:w="1860" w:type="dxa"/>
            <w:tcMar>
              <w:top w:w="0" w:type="dxa"/>
              <w:bottom w:w="0" w:type="dxa"/>
            </w:tcMar>
            <w:vAlign w:val="center"/>
          </w:tcPr>
          <w:p w:rsidR="00367D6F" w:rsidRDefault="006D29F0">
            <w:pPr>
              <w:keepNext/>
              <w:keepLines/>
              <w:spacing w:after="0" w:line="240" w:lineRule="auto"/>
              <w:jc w:val="right"/>
            </w:pPr>
            <w:r>
              <w:rPr>
                <w:sz w:val="18"/>
              </w:rPr>
              <w:t>535,50</w:t>
            </w:r>
          </w:p>
        </w:tc>
        <w:tc>
          <w:tcPr>
            <w:tcW w:w="1860" w:type="dxa"/>
            <w:tcMar>
              <w:top w:w="0" w:type="dxa"/>
              <w:bottom w:w="0" w:type="dxa"/>
            </w:tcMar>
            <w:vAlign w:val="center"/>
          </w:tcPr>
          <w:p w:rsidR="00367D6F" w:rsidRDefault="006D29F0">
            <w:pPr>
              <w:keepNext/>
              <w:keepLines/>
              <w:spacing w:after="0" w:line="240" w:lineRule="auto"/>
              <w:jc w:val="right"/>
            </w:pPr>
            <w:r>
              <w:rPr>
                <w:sz w:val="18"/>
              </w:rPr>
              <w:t>508,50</w:t>
            </w:r>
          </w:p>
        </w:tc>
        <w:tc>
          <w:tcPr>
            <w:tcW w:w="700" w:type="dxa"/>
            <w:tcMar>
              <w:top w:w="0" w:type="dxa"/>
              <w:bottom w:w="0" w:type="dxa"/>
            </w:tcMar>
            <w:vAlign w:val="center"/>
          </w:tcPr>
          <w:p w:rsidR="00367D6F" w:rsidRDefault="006D29F0">
            <w:pPr>
              <w:keepNext/>
              <w:keepLines/>
              <w:spacing w:after="0" w:line="240" w:lineRule="auto"/>
              <w:jc w:val="right"/>
            </w:pPr>
            <w:r>
              <w:rPr>
                <w:sz w:val="18"/>
              </w:rPr>
              <w:t>95,0</w:t>
            </w:r>
          </w:p>
        </w:tc>
      </w:tr>
    </w:tbl>
    <w:p w:rsidR="00367D6F" w:rsidRDefault="00367D6F">
      <w:pPr>
        <w:spacing w:after="0"/>
      </w:pPr>
    </w:p>
    <w:p w:rsidR="00367D6F" w:rsidRDefault="006D29F0">
      <w:r>
        <w:t>Tekuće donacije u naravi odnose se na nabavu higijenskih uložaka za učenice.</w:t>
      </w:r>
    </w:p>
    <w:p w:rsidR="00367D6F" w:rsidRDefault="00367D6F"/>
    <w:p w:rsidR="00367D6F" w:rsidRDefault="006D29F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96</w:t>
            </w:r>
          </w:p>
        </w:tc>
        <w:tc>
          <w:tcPr>
            <w:tcW w:w="3180" w:type="dxa"/>
            <w:tcMar>
              <w:top w:w="0" w:type="dxa"/>
              <w:bottom w:w="0" w:type="dxa"/>
            </w:tcMar>
            <w:vAlign w:val="center"/>
          </w:tcPr>
          <w:p w:rsidR="00367D6F" w:rsidRDefault="006D29F0">
            <w:pPr>
              <w:keepNext/>
              <w:keepLines/>
              <w:spacing w:after="0" w:line="240" w:lineRule="auto"/>
            </w:pPr>
            <w:r>
              <w:rPr>
                <w:sz w:val="18"/>
              </w:rPr>
              <w:t>Obračunati prihodi poslovanja - nenaplaćeni</w:t>
            </w:r>
          </w:p>
        </w:tc>
        <w:tc>
          <w:tcPr>
            <w:tcW w:w="700" w:type="dxa"/>
            <w:tcMar>
              <w:top w:w="0" w:type="dxa"/>
              <w:bottom w:w="0" w:type="dxa"/>
            </w:tcMar>
            <w:vAlign w:val="center"/>
          </w:tcPr>
          <w:p w:rsidR="00367D6F" w:rsidRDefault="006D29F0">
            <w:pPr>
              <w:keepNext/>
              <w:keepLines/>
              <w:spacing w:after="0" w:line="240" w:lineRule="auto"/>
            </w:pPr>
            <w:r>
              <w:rPr>
                <w:sz w:val="18"/>
              </w:rPr>
              <w:t>96</w:t>
            </w:r>
          </w:p>
        </w:tc>
        <w:tc>
          <w:tcPr>
            <w:tcW w:w="1860" w:type="dxa"/>
            <w:tcMar>
              <w:top w:w="0" w:type="dxa"/>
              <w:bottom w:w="0" w:type="dxa"/>
            </w:tcMar>
            <w:vAlign w:val="center"/>
          </w:tcPr>
          <w:p w:rsidR="00367D6F" w:rsidRDefault="006D29F0">
            <w:pPr>
              <w:keepNext/>
              <w:keepLines/>
              <w:spacing w:after="0" w:line="240" w:lineRule="auto"/>
              <w:jc w:val="right"/>
            </w:pPr>
            <w:r>
              <w:rPr>
                <w:sz w:val="18"/>
              </w:rPr>
              <w:t>8.766,18</w:t>
            </w:r>
          </w:p>
        </w:tc>
        <w:tc>
          <w:tcPr>
            <w:tcW w:w="1860" w:type="dxa"/>
            <w:tcMar>
              <w:top w:w="0" w:type="dxa"/>
              <w:bottom w:w="0" w:type="dxa"/>
            </w:tcMar>
            <w:vAlign w:val="center"/>
          </w:tcPr>
          <w:p w:rsidR="00367D6F" w:rsidRDefault="006D29F0">
            <w:pPr>
              <w:keepNext/>
              <w:keepLines/>
              <w:spacing w:after="0" w:line="240" w:lineRule="auto"/>
              <w:jc w:val="right"/>
            </w:pPr>
            <w:r>
              <w:rPr>
                <w:sz w:val="18"/>
              </w:rPr>
              <w:t>104.696,46</w:t>
            </w:r>
          </w:p>
        </w:tc>
        <w:tc>
          <w:tcPr>
            <w:tcW w:w="700" w:type="dxa"/>
            <w:tcMar>
              <w:top w:w="0" w:type="dxa"/>
              <w:bottom w:w="0" w:type="dxa"/>
            </w:tcMar>
            <w:vAlign w:val="center"/>
          </w:tcPr>
          <w:p w:rsidR="00367D6F" w:rsidRDefault="006D29F0">
            <w:pPr>
              <w:keepNext/>
              <w:keepLines/>
              <w:spacing w:after="0" w:line="240" w:lineRule="auto"/>
              <w:jc w:val="right"/>
            </w:pPr>
            <w:r>
              <w:rPr>
                <w:sz w:val="18"/>
              </w:rPr>
              <w:t>1194,3</w:t>
            </w:r>
          </w:p>
        </w:tc>
      </w:tr>
    </w:tbl>
    <w:p w:rsidR="00367D6F" w:rsidRDefault="00367D6F">
      <w:pPr>
        <w:spacing w:after="0"/>
      </w:pPr>
    </w:p>
    <w:p w:rsidR="00367D6F" w:rsidRDefault="006D29F0">
      <w:r>
        <w:t>Obračunati prihodi poslovanja veći su u odnosu na 2024. godinu budući da se od 1. siječnja 2025. godine, temeljem Izmjena i dopuna Pravilnika o proračunskom računovodstvu, u bilanci evidentiraju i potraživanja i obračunati prihodi za pomoći iz državnog proračuna. Radi se o obračunatim prihodima za plaće, prijevoz na posao, naknadi zbog nezapošljavanja osoba s invaliditetom i materijalnim pravima za prosinac 2025. te obračunatom prihodu za nabavu knjige "Herojski Vukovar".</w:t>
      </w:r>
    </w:p>
    <w:p w:rsidR="00367D6F" w:rsidRDefault="00367D6F"/>
    <w:p w:rsidR="00367D6F" w:rsidRDefault="006D29F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72</w:t>
            </w:r>
          </w:p>
        </w:tc>
        <w:tc>
          <w:tcPr>
            <w:tcW w:w="3180" w:type="dxa"/>
            <w:tcMar>
              <w:top w:w="0" w:type="dxa"/>
              <w:bottom w:w="0" w:type="dxa"/>
            </w:tcMar>
            <w:vAlign w:val="center"/>
          </w:tcPr>
          <w:p w:rsidR="00367D6F" w:rsidRDefault="006D29F0">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rsidR="00367D6F" w:rsidRDefault="006D29F0">
            <w:pPr>
              <w:keepNext/>
              <w:keepLines/>
              <w:spacing w:after="0" w:line="240" w:lineRule="auto"/>
            </w:pPr>
            <w:r>
              <w:rPr>
                <w:sz w:val="18"/>
              </w:rPr>
              <w:t>72</w:t>
            </w:r>
          </w:p>
        </w:tc>
        <w:tc>
          <w:tcPr>
            <w:tcW w:w="1860" w:type="dxa"/>
            <w:tcMar>
              <w:top w:w="0" w:type="dxa"/>
              <w:bottom w:w="0" w:type="dxa"/>
            </w:tcMar>
            <w:vAlign w:val="center"/>
          </w:tcPr>
          <w:p w:rsidR="00367D6F" w:rsidRDefault="006D29F0">
            <w:pPr>
              <w:keepNext/>
              <w:keepLines/>
              <w:spacing w:after="0" w:line="240" w:lineRule="auto"/>
              <w:jc w:val="right"/>
            </w:pPr>
            <w:r>
              <w:rPr>
                <w:sz w:val="18"/>
              </w:rPr>
              <w:t>61,32</w:t>
            </w:r>
          </w:p>
        </w:tc>
        <w:tc>
          <w:tcPr>
            <w:tcW w:w="1860" w:type="dxa"/>
            <w:tcMar>
              <w:top w:w="0" w:type="dxa"/>
              <w:bottom w:w="0" w:type="dxa"/>
            </w:tcMar>
            <w:vAlign w:val="center"/>
          </w:tcPr>
          <w:p w:rsidR="00367D6F" w:rsidRDefault="006D29F0">
            <w:pPr>
              <w:keepNext/>
              <w:keepLines/>
              <w:spacing w:after="0" w:line="240" w:lineRule="auto"/>
              <w:jc w:val="right"/>
            </w:pPr>
            <w:r>
              <w:rPr>
                <w:sz w:val="18"/>
              </w:rPr>
              <w:t>78,74</w:t>
            </w:r>
          </w:p>
        </w:tc>
        <w:tc>
          <w:tcPr>
            <w:tcW w:w="700" w:type="dxa"/>
            <w:tcMar>
              <w:top w:w="0" w:type="dxa"/>
              <w:bottom w:w="0" w:type="dxa"/>
            </w:tcMar>
            <w:vAlign w:val="center"/>
          </w:tcPr>
          <w:p w:rsidR="00367D6F" w:rsidRDefault="006D29F0">
            <w:pPr>
              <w:keepNext/>
              <w:keepLines/>
              <w:spacing w:after="0" w:line="240" w:lineRule="auto"/>
              <w:jc w:val="right"/>
            </w:pPr>
            <w:r>
              <w:rPr>
                <w:sz w:val="18"/>
              </w:rPr>
              <w:t>128,4</w:t>
            </w:r>
          </w:p>
        </w:tc>
      </w:tr>
    </w:tbl>
    <w:p w:rsidR="00367D6F" w:rsidRDefault="00367D6F">
      <w:pPr>
        <w:spacing w:after="0"/>
      </w:pPr>
    </w:p>
    <w:p w:rsidR="00367D6F" w:rsidRDefault="006D29F0">
      <w:r>
        <w:t>Na ovoj poziciji nalazi se prihod od prodaje stanova na kojima je postojalo stanarsko pravo. Prihod je veći u odnosu na ostvarenje u 2024. godini, budući da je posljednji stan  u 2025. godini isplaćen u cijelosti.</w:t>
      </w:r>
    </w:p>
    <w:p w:rsidR="00367D6F" w:rsidRDefault="00367D6F"/>
    <w:p w:rsidR="00367D6F" w:rsidRDefault="006D29F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721</w:t>
            </w:r>
          </w:p>
        </w:tc>
        <w:tc>
          <w:tcPr>
            <w:tcW w:w="3180" w:type="dxa"/>
            <w:tcMar>
              <w:top w:w="0" w:type="dxa"/>
              <w:bottom w:w="0" w:type="dxa"/>
            </w:tcMar>
            <w:vAlign w:val="center"/>
          </w:tcPr>
          <w:p w:rsidR="00367D6F" w:rsidRDefault="006D29F0">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rsidR="00367D6F" w:rsidRDefault="006D29F0">
            <w:pPr>
              <w:keepNext/>
              <w:keepLines/>
              <w:spacing w:after="0" w:line="240" w:lineRule="auto"/>
            </w:pPr>
            <w:r>
              <w:rPr>
                <w:sz w:val="18"/>
              </w:rPr>
              <w:t>721</w:t>
            </w:r>
          </w:p>
        </w:tc>
        <w:tc>
          <w:tcPr>
            <w:tcW w:w="1860" w:type="dxa"/>
            <w:tcMar>
              <w:top w:w="0" w:type="dxa"/>
              <w:bottom w:w="0" w:type="dxa"/>
            </w:tcMar>
            <w:vAlign w:val="center"/>
          </w:tcPr>
          <w:p w:rsidR="00367D6F" w:rsidRDefault="006D29F0">
            <w:pPr>
              <w:keepNext/>
              <w:keepLines/>
              <w:spacing w:after="0" w:line="240" w:lineRule="auto"/>
              <w:jc w:val="right"/>
            </w:pPr>
            <w:r>
              <w:rPr>
                <w:sz w:val="18"/>
              </w:rPr>
              <w:t>61,32</w:t>
            </w:r>
          </w:p>
        </w:tc>
        <w:tc>
          <w:tcPr>
            <w:tcW w:w="1860" w:type="dxa"/>
            <w:tcMar>
              <w:top w:w="0" w:type="dxa"/>
              <w:bottom w:w="0" w:type="dxa"/>
            </w:tcMar>
            <w:vAlign w:val="center"/>
          </w:tcPr>
          <w:p w:rsidR="00367D6F" w:rsidRDefault="006D29F0">
            <w:pPr>
              <w:keepNext/>
              <w:keepLines/>
              <w:spacing w:after="0" w:line="240" w:lineRule="auto"/>
              <w:jc w:val="right"/>
            </w:pPr>
            <w:r>
              <w:rPr>
                <w:sz w:val="18"/>
              </w:rPr>
              <w:t>78,74</w:t>
            </w:r>
          </w:p>
        </w:tc>
        <w:tc>
          <w:tcPr>
            <w:tcW w:w="700" w:type="dxa"/>
            <w:tcMar>
              <w:top w:w="0" w:type="dxa"/>
              <w:bottom w:w="0" w:type="dxa"/>
            </w:tcMar>
            <w:vAlign w:val="center"/>
          </w:tcPr>
          <w:p w:rsidR="00367D6F" w:rsidRDefault="006D29F0">
            <w:pPr>
              <w:keepNext/>
              <w:keepLines/>
              <w:spacing w:after="0" w:line="240" w:lineRule="auto"/>
              <w:jc w:val="right"/>
            </w:pPr>
            <w:r>
              <w:rPr>
                <w:sz w:val="18"/>
              </w:rPr>
              <w:t>128,4</w:t>
            </w:r>
          </w:p>
        </w:tc>
      </w:tr>
    </w:tbl>
    <w:p w:rsidR="00367D6F" w:rsidRDefault="00367D6F">
      <w:pPr>
        <w:spacing w:after="0"/>
      </w:pPr>
    </w:p>
    <w:p w:rsidR="00367D6F" w:rsidRDefault="006D29F0">
      <w:r>
        <w:t>Na ovoj poziciji nalazi se prihod od prodaje stanova na kojima je postojalo stanarsko pravo. Prihod je veći u odnosu na ostvarenje u 2024. godini, budući da je posljednji stan  u 2025. godini isplaćen u cijelosti.</w:t>
      </w:r>
    </w:p>
    <w:p w:rsidR="00367D6F" w:rsidRDefault="00367D6F"/>
    <w:p w:rsidR="00367D6F" w:rsidRDefault="006D29F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7211</w:t>
            </w:r>
          </w:p>
        </w:tc>
        <w:tc>
          <w:tcPr>
            <w:tcW w:w="3180" w:type="dxa"/>
            <w:tcMar>
              <w:top w:w="0" w:type="dxa"/>
              <w:bottom w:w="0" w:type="dxa"/>
            </w:tcMar>
            <w:vAlign w:val="center"/>
          </w:tcPr>
          <w:p w:rsidR="00367D6F" w:rsidRDefault="006D29F0">
            <w:pPr>
              <w:keepNext/>
              <w:keepLines/>
              <w:spacing w:after="0" w:line="240" w:lineRule="auto"/>
            </w:pPr>
            <w:r>
              <w:rPr>
                <w:sz w:val="18"/>
              </w:rPr>
              <w:t>Stambeni objekti</w:t>
            </w:r>
          </w:p>
        </w:tc>
        <w:tc>
          <w:tcPr>
            <w:tcW w:w="700" w:type="dxa"/>
            <w:tcMar>
              <w:top w:w="0" w:type="dxa"/>
              <w:bottom w:w="0" w:type="dxa"/>
            </w:tcMar>
            <w:vAlign w:val="center"/>
          </w:tcPr>
          <w:p w:rsidR="00367D6F" w:rsidRDefault="006D29F0">
            <w:pPr>
              <w:keepNext/>
              <w:keepLines/>
              <w:spacing w:after="0" w:line="240" w:lineRule="auto"/>
            </w:pPr>
            <w:r>
              <w:rPr>
                <w:sz w:val="18"/>
              </w:rPr>
              <w:t>7211</w:t>
            </w:r>
          </w:p>
        </w:tc>
        <w:tc>
          <w:tcPr>
            <w:tcW w:w="1860" w:type="dxa"/>
            <w:tcMar>
              <w:top w:w="0" w:type="dxa"/>
              <w:bottom w:w="0" w:type="dxa"/>
            </w:tcMar>
            <w:vAlign w:val="center"/>
          </w:tcPr>
          <w:p w:rsidR="00367D6F" w:rsidRDefault="006D29F0">
            <w:pPr>
              <w:keepNext/>
              <w:keepLines/>
              <w:spacing w:after="0" w:line="240" w:lineRule="auto"/>
              <w:jc w:val="right"/>
            </w:pPr>
            <w:r>
              <w:rPr>
                <w:sz w:val="18"/>
              </w:rPr>
              <w:t>61,32</w:t>
            </w:r>
          </w:p>
        </w:tc>
        <w:tc>
          <w:tcPr>
            <w:tcW w:w="1860" w:type="dxa"/>
            <w:tcMar>
              <w:top w:w="0" w:type="dxa"/>
              <w:bottom w:w="0" w:type="dxa"/>
            </w:tcMar>
            <w:vAlign w:val="center"/>
          </w:tcPr>
          <w:p w:rsidR="00367D6F" w:rsidRDefault="006D29F0">
            <w:pPr>
              <w:keepNext/>
              <w:keepLines/>
              <w:spacing w:after="0" w:line="240" w:lineRule="auto"/>
              <w:jc w:val="right"/>
            </w:pPr>
            <w:r>
              <w:rPr>
                <w:sz w:val="18"/>
              </w:rPr>
              <w:t>78,74</w:t>
            </w:r>
          </w:p>
        </w:tc>
        <w:tc>
          <w:tcPr>
            <w:tcW w:w="700" w:type="dxa"/>
            <w:tcMar>
              <w:top w:w="0" w:type="dxa"/>
              <w:bottom w:w="0" w:type="dxa"/>
            </w:tcMar>
            <w:vAlign w:val="center"/>
          </w:tcPr>
          <w:p w:rsidR="00367D6F" w:rsidRDefault="006D29F0">
            <w:pPr>
              <w:keepNext/>
              <w:keepLines/>
              <w:spacing w:after="0" w:line="240" w:lineRule="auto"/>
              <w:jc w:val="right"/>
            </w:pPr>
            <w:r>
              <w:rPr>
                <w:sz w:val="18"/>
              </w:rPr>
              <w:t>128,4</w:t>
            </w:r>
          </w:p>
        </w:tc>
      </w:tr>
    </w:tbl>
    <w:p w:rsidR="00367D6F" w:rsidRDefault="00367D6F">
      <w:pPr>
        <w:spacing w:after="0"/>
      </w:pPr>
    </w:p>
    <w:p w:rsidR="00367D6F" w:rsidRDefault="006D29F0">
      <w:r>
        <w:t>Na ovoj poziciji nalazi se prihod od prodaje stanova na kojima je postojalo stanarsko pravo. Prihod je veći u odnosu na ostvarenje u 2024. godini, budući da je posljednji stan  u 2025. godini isplaćen u cijelosti.</w:t>
      </w:r>
    </w:p>
    <w:p w:rsidR="00367D6F" w:rsidRDefault="00367D6F"/>
    <w:p w:rsidR="00367D6F" w:rsidRDefault="006D29F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4</w:t>
            </w:r>
          </w:p>
        </w:tc>
        <w:tc>
          <w:tcPr>
            <w:tcW w:w="3180" w:type="dxa"/>
            <w:tcMar>
              <w:top w:w="0" w:type="dxa"/>
              <w:bottom w:w="0" w:type="dxa"/>
            </w:tcMar>
            <w:vAlign w:val="center"/>
          </w:tcPr>
          <w:p w:rsidR="00367D6F" w:rsidRDefault="006D29F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367D6F" w:rsidRDefault="006D29F0">
            <w:pPr>
              <w:keepNext/>
              <w:keepLines/>
              <w:spacing w:after="0" w:line="240" w:lineRule="auto"/>
            </w:pPr>
            <w:r>
              <w:rPr>
                <w:sz w:val="18"/>
              </w:rPr>
              <w:t>4</w:t>
            </w:r>
          </w:p>
        </w:tc>
        <w:tc>
          <w:tcPr>
            <w:tcW w:w="1860" w:type="dxa"/>
            <w:tcMar>
              <w:top w:w="0" w:type="dxa"/>
              <w:bottom w:w="0" w:type="dxa"/>
            </w:tcMar>
            <w:vAlign w:val="center"/>
          </w:tcPr>
          <w:p w:rsidR="00367D6F" w:rsidRDefault="006D29F0">
            <w:pPr>
              <w:keepNext/>
              <w:keepLines/>
              <w:spacing w:after="0" w:line="240" w:lineRule="auto"/>
              <w:jc w:val="right"/>
            </w:pPr>
            <w:r>
              <w:rPr>
                <w:sz w:val="18"/>
              </w:rPr>
              <w:t>5.370,26</w:t>
            </w:r>
          </w:p>
        </w:tc>
        <w:tc>
          <w:tcPr>
            <w:tcW w:w="1860" w:type="dxa"/>
            <w:tcMar>
              <w:top w:w="0" w:type="dxa"/>
              <w:bottom w:w="0" w:type="dxa"/>
            </w:tcMar>
            <w:vAlign w:val="center"/>
          </w:tcPr>
          <w:p w:rsidR="00367D6F" w:rsidRDefault="006D29F0">
            <w:pPr>
              <w:keepNext/>
              <w:keepLines/>
              <w:spacing w:after="0" w:line="240" w:lineRule="auto"/>
              <w:jc w:val="right"/>
            </w:pPr>
            <w:r>
              <w:rPr>
                <w:sz w:val="18"/>
              </w:rPr>
              <w:t>3.645,55</w:t>
            </w:r>
          </w:p>
        </w:tc>
        <w:tc>
          <w:tcPr>
            <w:tcW w:w="700" w:type="dxa"/>
            <w:tcMar>
              <w:top w:w="0" w:type="dxa"/>
              <w:bottom w:w="0" w:type="dxa"/>
            </w:tcMar>
            <w:vAlign w:val="center"/>
          </w:tcPr>
          <w:p w:rsidR="00367D6F" w:rsidRDefault="006D29F0">
            <w:pPr>
              <w:keepNext/>
              <w:keepLines/>
              <w:spacing w:after="0" w:line="240" w:lineRule="auto"/>
              <w:jc w:val="right"/>
            </w:pPr>
            <w:r>
              <w:rPr>
                <w:sz w:val="18"/>
              </w:rPr>
              <w:t>67,9</w:t>
            </w:r>
          </w:p>
        </w:tc>
      </w:tr>
    </w:tbl>
    <w:p w:rsidR="00367D6F" w:rsidRDefault="00367D6F">
      <w:pPr>
        <w:spacing w:after="0"/>
      </w:pPr>
    </w:p>
    <w:p w:rsidR="00367D6F" w:rsidRDefault="006D29F0">
      <w:r>
        <w:t>Škola je u 2025. godini nabavila digitalni mikroskop u iznosu od 258,75 eura, školsku ploču u iznosu od 433,05 eura, knjige za školsku knjižnicu u iznosu od 664,24 eura i udžbenike u iznosu od 2.289,51 eura. Ukupni rashodi za nabavu dugotrajne imovine su manji od ostvarenih u 2024. godini ponajviše radi toga što je Škola u 2024. godini ugradila jednostavni priključak na elektroenergetsku mrežu što se smatra dodatnim ulaganjem u građevinski objekt u iznosu od 2.329,34 eura, što je značajno bilo povećalo ovu poziciju rashoda u 2024. godini.</w:t>
      </w:r>
    </w:p>
    <w:p w:rsidR="00367D6F" w:rsidRDefault="00367D6F"/>
    <w:p w:rsidR="00367D6F" w:rsidRDefault="006D29F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42</w:t>
            </w:r>
          </w:p>
        </w:tc>
        <w:tc>
          <w:tcPr>
            <w:tcW w:w="3180" w:type="dxa"/>
            <w:tcMar>
              <w:top w:w="0" w:type="dxa"/>
              <w:bottom w:w="0" w:type="dxa"/>
            </w:tcMar>
            <w:vAlign w:val="center"/>
          </w:tcPr>
          <w:p w:rsidR="00367D6F" w:rsidRDefault="006D29F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367D6F" w:rsidRDefault="006D29F0">
            <w:pPr>
              <w:keepNext/>
              <w:keepLines/>
              <w:spacing w:after="0" w:line="240" w:lineRule="auto"/>
            </w:pPr>
            <w:r>
              <w:rPr>
                <w:sz w:val="18"/>
              </w:rPr>
              <w:t>42</w:t>
            </w:r>
          </w:p>
        </w:tc>
        <w:tc>
          <w:tcPr>
            <w:tcW w:w="1860" w:type="dxa"/>
            <w:tcMar>
              <w:top w:w="0" w:type="dxa"/>
              <w:bottom w:w="0" w:type="dxa"/>
            </w:tcMar>
            <w:vAlign w:val="center"/>
          </w:tcPr>
          <w:p w:rsidR="00367D6F" w:rsidRDefault="006D29F0">
            <w:pPr>
              <w:keepNext/>
              <w:keepLines/>
              <w:spacing w:after="0" w:line="240" w:lineRule="auto"/>
              <w:jc w:val="right"/>
            </w:pPr>
            <w:r>
              <w:rPr>
                <w:sz w:val="18"/>
              </w:rPr>
              <w:t>3.040,92</w:t>
            </w:r>
          </w:p>
        </w:tc>
        <w:tc>
          <w:tcPr>
            <w:tcW w:w="1860" w:type="dxa"/>
            <w:tcMar>
              <w:top w:w="0" w:type="dxa"/>
              <w:bottom w:w="0" w:type="dxa"/>
            </w:tcMar>
            <w:vAlign w:val="center"/>
          </w:tcPr>
          <w:p w:rsidR="00367D6F" w:rsidRDefault="006D29F0">
            <w:pPr>
              <w:keepNext/>
              <w:keepLines/>
              <w:spacing w:after="0" w:line="240" w:lineRule="auto"/>
              <w:jc w:val="right"/>
            </w:pPr>
            <w:r>
              <w:rPr>
                <w:sz w:val="18"/>
              </w:rPr>
              <w:t>3.645,55</w:t>
            </w:r>
          </w:p>
        </w:tc>
        <w:tc>
          <w:tcPr>
            <w:tcW w:w="700" w:type="dxa"/>
            <w:tcMar>
              <w:top w:w="0" w:type="dxa"/>
              <w:bottom w:w="0" w:type="dxa"/>
            </w:tcMar>
            <w:vAlign w:val="center"/>
          </w:tcPr>
          <w:p w:rsidR="00367D6F" w:rsidRDefault="006D29F0">
            <w:pPr>
              <w:keepNext/>
              <w:keepLines/>
              <w:spacing w:after="0" w:line="240" w:lineRule="auto"/>
              <w:jc w:val="right"/>
            </w:pPr>
            <w:r>
              <w:rPr>
                <w:sz w:val="18"/>
              </w:rPr>
              <w:t>119,9</w:t>
            </w:r>
          </w:p>
        </w:tc>
      </w:tr>
    </w:tbl>
    <w:p w:rsidR="00367D6F" w:rsidRDefault="00367D6F">
      <w:pPr>
        <w:spacing w:after="0"/>
      </w:pPr>
    </w:p>
    <w:p w:rsidR="00367D6F" w:rsidRDefault="006D29F0">
      <w:r>
        <w:t>Škola je u 2025. godini nabavila digitalni mikroskop u iznosu od 258,75 eura, školsku ploču u iznosu od 433,05 eura, knjige za školsku knjižnicu u iznosu od 664,24 eura i udžbenike u iznosu od 2.289,51 eura. </w:t>
      </w:r>
    </w:p>
    <w:p w:rsidR="00367D6F" w:rsidRDefault="00367D6F"/>
    <w:p w:rsidR="00367D6F" w:rsidRDefault="006D29F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422</w:t>
            </w:r>
          </w:p>
        </w:tc>
        <w:tc>
          <w:tcPr>
            <w:tcW w:w="3180" w:type="dxa"/>
            <w:tcMar>
              <w:top w:w="0" w:type="dxa"/>
              <w:bottom w:w="0" w:type="dxa"/>
            </w:tcMar>
            <w:vAlign w:val="center"/>
          </w:tcPr>
          <w:p w:rsidR="00367D6F" w:rsidRDefault="006D29F0">
            <w:pPr>
              <w:keepNext/>
              <w:keepLines/>
              <w:spacing w:after="0" w:line="240" w:lineRule="auto"/>
            </w:pPr>
            <w:r>
              <w:rPr>
                <w:sz w:val="18"/>
              </w:rPr>
              <w:t>Postrojenja i oprema (šifre 4221 do 4228)</w:t>
            </w:r>
          </w:p>
        </w:tc>
        <w:tc>
          <w:tcPr>
            <w:tcW w:w="700" w:type="dxa"/>
            <w:tcMar>
              <w:top w:w="0" w:type="dxa"/>
              <w:bottom w:w="0" w:type="dxa"/>
            </w:tcMar>
            <w:vAlign w:val="center"/>
          </w:tcPr>
          <w:p w:rsidR="00367D6F" w:rsidRDefault="006D29F0">
            <w:pPr>
              <w:keepNext/>
              <w:keepLines/>
              <w:spacing w:after="0" w:line="240" w:lineRule="auto"/>
            </w:pPr>
            <w:r>
              <w:rPr>
                <w:sz w:val="18"/>
              </w:rPr>
              <w:t>422</w:t>
            </w:r>
          </w:p>
        </w:tc>
        <w:tc>
          <w:tcPr>
            <w:tcW w:w="1860" w:type="dxa"/>
            <w:tcMar>
              <w:top w:w="0" w:type="dxa"/>
              <w:bottom w:w="0" w:type="dxa"/>
            </w:tcMar>
            <w:vAlign w:val="center"/>
          </w:tcPr>
          <w:p w:rsidR="00367D6F" w:rsidRDefault="006D29F0">
            <w:pPr>
              <w:keepNext/>
              <w:keepLines/>
              <w:spacing w:after="0" w:line="240" w:lineRule="auto"/>
              <w:jc w:val="right"/>
            </w:pPr>
            <w:r>
              <w:rPr>
                <w:sz w:val="18"/>
              </w:rPr>
              <w:t>746,00</w:t>
            </w:r>
          </w:p>
        </w:tc>
        <w:tc>
          <w:tcPr>
            <w:tcW w:w="1860" w:type="dxa"/>
            <w:tcMar>
              <w:top w:w="0" w:type="dxa"/>
              <w:bottom w:w="0" w:type="dxa"/>
            </w:tcMar>
            <w:vAlign w:val="center"/>
          </w:tcPr>
          <w:p w:rsidR="00367D6F" w:rsidRDefault="006D29F0">
            <w:pPr>
              <w:keepNext/>
              <w:keepLines/>
              <w:spacing w:after="0" w:line="240" w:lineRule="auto"/>
              <w:jc w:val="right"/>
            </w:pPr>
            <w:r>
              <w:rPr>
                <w:sz w:val="18"/>
              </w:rPr>
              <w:t>691,80</w:t>
            </w:r>
          </w:p>
        </w:tc>
        <w:tc>
          <w:tcPr>
            <w:tcW w:w="700" w:type="dxa"/>
            <w:tcMar>
              <w:top w:w="0" w:type="dxa"/>
              <w:bottom w:w="0" w:type="dxa"/>
            </w:tcMar>
            <w:vAlign w:val="center"/>
          </w:tcPr>
          <w:p w:rsidR="00367D6F" w:rsidRDefault="006D29F0">
            <w:pPr>
              <w:keepNext/>
              <w:keepLines/>
              <w:spacing w:after="0" w:line="240" w:lineRule="auto"/>
              <w:jc w:val="right"/>
            </w:pPr>
            <w:r>
              <w:rPr>
                <w:sz w:val="18"/>
              </w:rPr>
              <w:t>92,7</w:t>
            </w:r>
          </w:p>
        </w:tc>
      </w:tr>
    </w:tbl>
    <w:p w:rsidR="00367D6F" w:rsidRDefault="00367D6F">
      <w:pPr>
        <w:spacing w:after="0"/>
      </w:pPr>
    </w:p>
    <w:p w:rsidR="00367D6F" w:rsidRDefault="006D29F0">
      <w:r>
        <w:t>Škola je u 2025. godini nabavila digitalni mikroskop u iznosu od 258,75 eura i školsku ploču u iznosu od 433,05 eura</w:t>
      </w:r>
    </w:p>
    <w:p w:rsidR="00367D6F" w:rsidRDefault="00367D6F"/>
    <w:p w:rsidR="00367D6F" w:rsidRDefault="006D29F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4227</w:t>
            </w:r>
          </w:p>
        </w:tc>
        <w:tc>
          <w:tcPr>
            <w:tcW w:w="3180" w:type="dxa"/>
            <w:tcMar>
              <w:top w:w="0" w:type="dxa"/>
              <w:bottom w:w="0" w:type="dxa"/>
            </w:tcMar>
            <w:vAlign w:val="center"/>
          </w:tcPr>
          <w:p w:rsidR="00367D6F" w:rsidRDefault="006D29F0">
            <w:pPr>
              <w:keepNext/>
              <w:keepLines/>
              <w:spacing w:after="0" w:line="240" w:lineRule="auto"/>
            </w:pPr>
            <w:r>
              <w:rPr>
                <w:sz w:val="18"/>
              </w:rPr>
              <w:t>Uređaji, strojevi i oprema za ostale namjene</w:t>
            </w:r>
          </w:p>
        </w:tc>
        <w:tc>
          <w:tcPr>
            <w:tcW w:w="700" w:type="dxa"/>
            <w:tcMar>
              <w:top w:w="0" w:type="dxa"/>
              <w:bottom w:w="0" w:type="dxa"/>
            </w:tcMar>
            <w:vAlign w:val="center"/>
          </w:tcPr>
          <w:p w:rsidR="00367D6F" w:rsidRDefault="006D29F0">
            <w:pPr>
              <w:keepNext/>
              <w:keepLines/>
              <w:spacing w:after="0" w:line="240" w:lineRule="auto"/>
            </w:pPr>
            <w:r>
              <w:rPr>
                <w:sz w:val="18"/>
              </w:rPr>
              <w:t>4227</w:t>
            </w:r>
          </w:p>
        </w:tc>
        <w:tc>
          <w:tcPr>
            <w:tcW w:w="1860" w:type="dxa"/>
            <w:tcMar>
              <w:top w:w="0" w:type="dxa"/>
              <w:bottom w:w="0" w:type="dxa"/>
            </w:tcMar>
            <w:vAlign w:val="center"/>
          </w:tcPr>
          <w:p w:rsidR="00367D6F" w:rsidRDefault="006D29F0">
            <w:pPr>
              <w:keepNext/>
              <w:keepLines/>
              <w:spacing w:after="0" w:line="240" w:lineRule="auto"/>
              <w:jc w:val="right"/>
            </w:pPr>
            <w:r>
              <w:rPr>
                <w:sz w:val="18"/>
              </w:rPr>
              <w:t>506,00</w:t>
            </w:r>
          </w:p>
        </w:tc>
        <w:tc>
          <w:tcPr>
            <w:tcW w:w="1860" w:type="dxa"/>
            <w:tcMar>
              <w:top w:w="0" w:type="dxa"/>
              <w:bottom w:w="0" w:type="dxa"/>
            </w:tcMar>
            <w:vAlign w:val="center"/>
          </w:tcPr>
          <w:p w:rsidR="00367D6F" w:rsidRDefault="006D29F0">
            <w:pPr>
              <w:keepNext/>
              <w:keepLines/>
              <w:spacing w:after="0" w:line="240" w:lineRule="auto"/>
              <w:jc w:val="right"/>
            </w:pPr>
            <w:r>
              <w:rPr>
                <w:sz w:val="18"/>
              </w:rPr>
              <w:t>691,80</w:t>
            </w:r>
          </w:p>
        </w:tc>
        <w:tc>
          <w:tcPr>
            <w:tcW w:w="700" w:type="dxa"/>
            <w:tcMar>
              <w:top w:w="0" w:type="dxa"/>
              <w:bottom w:w="0" w:type="dxa"/>
            </w:tcMar>
            <w:vAlign w:val="center"/>
          </w:tcPr>
          <w:p w:rsidR="00367D6F" w:rsidRDefault="006D29F0">
            <w:pPr>
              <w:keepNext/>
              <w:keepLines/>
              <w:spacing w:after="0" w:line="240" w:lineRule="auto"/>
              <w:jc w:val="right"/>
            </w:pPr>
            <w:r>
              <w:rPr>
                <w:sz w:val="18"/>
              </w:rPr>
              <w:t>136,7</w:t>
            </w:r>
          </w:p>
        </w:tc>
      </w:tr>
    </w:tbl>
    <w:p w:rsidR="00367D6F" w:rsidRDefault="00367D6F">
      <w:pPr>
        <w:spacing w:after="0"/>
      </w:pPr>
    </w:p>
    <w:p w:rsidR="00367D6F" w:rsidRDefault="006D29F0">
      <w:r>
        <w:t>Škola je u 2025. godini nabavila digitalni mikroskop u iznosu od 258,75 eura i školsku ploču u iznosu od 433,05 eura. </w:t>
      </w:r>
    </w:p>
    <w:p w:rsidR="00367D6F" w:rsidRDefault="00367D6F"/>
    <w:p w:rsidR="00367D6F" w:rsidRDefault="006D29F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424</w:t>
            </w:r>
          </w:p>
        </w:tc>
        <w:tc>
          <w:tcPr>
            <w:tcW w:w="3180" w:type="dxa"/>
            <w:tcMar>
              <w:top w:w="0" w:type="dxa"/>
              <w:bottom w:w="0" w:type="dxa"/>
            </w:tcMar>
            <w:vAlign w:val="center"/>
          </w:tcPr>
          <w:p w:rsidR="00367D6F" w:rsidRDefault="006D29F0">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rsidR="00367D6F" w:rsidRDefault="006D29F0">
            <w:pPr>
              <w:keepNext/>
              <w:keepLines/>
              <w:spacing w:after="0" w:line="240" w:lineRule="auto"/>
            </w:pPr>
            <w:r>
              <w:rPr>
                <w:sz w:val="18"/>
              </w:rPr>
              <w:t>424</w:t>
            </w:r>
          </w:p>
        </w:tc>
        <w:tc>
          <w:tcPr>
            <w:tcW w:w="1860" w:type="dxa"/>
            <w:tcMar>
              <w:top w:w="0" w:type="dxa"/>
              <w:bottom w:w="0" w:type="dxa"/>
            </w:tcMar>
            <w:vAlign w:val="center"/>
          </w:tcPr>
          <w:p w:rsidR="00367D6F" w:rsidRDefault="006D29F0">
            <w:pPr>
              <w:keepNext/>
              <w:keepLines/>
              <w:spacing w:after="0" w:line="240" w:lineRule="auto"/>
              <w:jc w:val="right"/>
            </w:pPr>
            <w:r>
              <w:rPr>
                <w:sz w:val="18"/>
              </w:rPr>
              <w:t>2.294,92</w:t>
            </w:r>
          </w:p>
        </w:tc>
        <w:tc>
          <w:tcPr>
            <w:tcW w:w="1860" w:type="dxa"/>
            <w:tcMar>
              <w:top w:w="0" w:type="dxa"/>
              <w:bottom w:w="0" w:type="dxa"/>
            </w:tcMar>
            <w:vAlign w:val="center"/>
          </w:tcPr>
          <w:p w:rsidR="00367D6F" w:rsidRDefault="006D29F0">
            <w:pPr>
              <w:keepNext/>
              <w:keepLines/>
              <w:spacing w:after="0" w:line="240" w:lineRule="auto"/>
              <w:jc w:val="right"/>
            </w:pPr>
            <w:r>
              <w:rPr>
                <w:sz w:val="18"/>
              </w:rPr>
              <w:t>2.953,75</w:t>
            </w:r>
          </w:p>
        </w:tc>
        <w:tc>
          <w:tcPr>
            <w:tcW w:w="700" w:type="dxa"/>
            <w:tcMar>
              <w:top w:w="0" w:type="dxa"/>
              <w:bottom w:w="0" w:type="dxa"/>
            </w:tcMar>
            <w:vAlign w:val="center"/>
          </w:tcPr>
          <w:p w:rsidR="00367D6F" w:rsidRDefault="006D29F0">
            <w:pPr>
              <w:keepNext/>
              <w:keepLines/>
              <w:spacing w:after="0" w:line="240" w:lineRule="auto"/>
              <w:jc w:val="right"/>
            </w:pPr>
            <w:r>
              <w:rPr>
                <w:sz w:val="18"/>
              </w:rPr>
              <w:t>128,7</w:t>
            </w:r>
          </w:p>
        </w:tc>
      </w:tr>
    </w:tbl>
    <w:p w:rsidR="00367D6F" w:rsidRDefault="00367D6F">
      <w:pPr>
        <w:spacing w:after="0"/>
      </w:pPr>
    </w:p>
    <w:p w:rsidR="00367D6F" w:rsidRDefault="006D29F0">
      <w:r>
        <w:t>Škola je u 2025. godini nabavila knjige za školsku knjižnicu u iznosu od 664,24 eura i udžbenike u iznosu od 2.289,51 eura. Budući da je Škola imala veći broj učenika u odnosu na 2024. godinu, porasli su i rashodi nabave udžbenika.</w:t>
      </w:r>
    </w:p>
    <w:p w:rsidR="00367D6F" w:rsidRDefault="00367D6F"/>
    <w:p w:rsidR="00367D6F" w:rsidRDefault="006D29F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4241</w:t>
            </w:r>
          </w:p>
        </w:tc>
        <w:tc>
          <w:tcPr>
            <w:tcW w:w="3180" w:type="dxa"/>
            <w:tcMar>
              <w:top w:w="0" w:type="dxa"/>
              <w:bottom w:w="0" w:type="dxa"/>
            </w:tcMar>
            <w:vAlign w:val="center"/>
          </w:tcPr>
          <w:p w:rsidR="00367D6F" w:rsidRDefault="006D29F0">
            <w:pPr>
              <w:keepNext/>
              <w:keepLines/>
              <w:spacing w:after="0" w:line="240" w:lineRule="auto"/>
            </w:pPr>
            <w:r>
              <w:rPr>
                <w:sz w:val="18"/>
              </w:rPr>
              <w:t>Knjige</w:t>
            </w:r>
          </w:p>
        </w:tc>
        <w:tc>
          <w:tcPr>
            <w:tcW w:w="700" w:type="dxa"/>
            <w:tcMar>
              <w:top w:w="0" w:type="dxa"/>
              <w:bottom w:w="0" w:type="dxa"/>
            </w:tcMar>
            <w:vAlign w:val="center"/>
          </w:tcPr>
          <w:p w:rsidR="00367D6F" w:rsidRDefault="006D29F0">
            <w:pPr>
              <w:keepNext/>
              <w:keepLines/>
              <w:spacing w:after="0" w:line="240" w:lineRule="auto"/>
            </w:pPr>
            <w:r>
              <w:rPr>
                <w:sz w:val="18"/>
              </w:rPr>
              <w:t>4241</w:t>
            </w:r>
          </w:p>
        </w:tc>
        <w:tc>
          <w:tcPr>
            <w:tcW w:w="1860" w:type="dxa"/>
            <w:tcMar>
              <w:top w:w="0" w:type="dxa"/>
              <w:bottom w:w="0" w:type="dxa"/>
            </w:tcMar>
            <w:vAlign w:val="center"/>
          </w:tcPr>
          <w:p w:rsidR="00367D6F" w:rsidRDefault="006D29F0">
            <w:pPr>
              <w:keepNext/>
              <w:keepLines/>
              <w:spacing w:after="0" w:line="240" w:lineRule="auto"/>
              <w:jc w:val="right"/>
            </w:pPr>
            <w:r>
              <w:rPr>
                <w:sz w:val="18"/>
              </w:rPr>
              <w:t>2.294,92</w:t>
            </w:r>
          </w:p>
        </w:tc>
        <w:tc>
          <w:tcPr>
            <w:tcW w:w="1860" w:type="dxa"/>
            <w:tcMar>
              <w:top w:w="0" w:type="dxa"/>
              <w:bottom w:w="0" w:type="dxa"/>
            </w:tcMar>
            <w:vAlign w:val="center"/>
          </w:tcPr>
          <w:p w:rsidR="00367D6F" w:rsidRDefault="006D29F0">
            <w:pPr>
              <w:keepNext/>
              <w:keepLines/>
              <w:spacing w:after="0" w:line="240" w:lineRule="auto"/>
              <w:jc w:val="right"/>
            </w:pPr>
            <w:r>
              <w:rPr>
                <w:sz w:val="18"/>
              </w:rPr>
              <w:t>2.953,75</w:t>
            </w:r>
          </w:p>
        </w:tc>
        <w:tc>
          <w:tcPr>
            <w:tcW w:w="700" w:type="dxa"/>
            <w:tcMar>
              <w:top w:w="0" w:type="dxa"/>
              <w:bottom w:w="0" w:type="dxa"/>
            </w:tcMar>
            <w:vAlign w:val="center"/>
          </w:tcPr>
          <w:p w:rsidR="00367D6F" w:rsidRDefault="006D29F0">
            <w:pPr>
              <w:keepNext/>
              <w:keepLines/>
              <w:spacing w:after="0" w:line="240" w:lineRule="auto"/>
              <w:jc w:val="right"/>
            </w:pPr>
            <w:r>
              <w:rPr>
                <w:sz w:val="18"/>
              </w:rPr>
              <w:t>128,7</w:t>
            </w:r>
          </w:p>
        </w:tc>
      </w:tr>
    </w:tbl>
    <w:p w:rsidR="00367D6F" w:rsidRDefault="00367D6F">
      <w:pPr>
        <w:spacing w:after="0"/>
      </w:pPr>
    </w:p>
    <w:p w:rsidR="00367D6F" w:rsidRDefault="006D29F0">
      <w:r>
        <w:t>Škola je u 2025. godini nabavila knjige za školsku knjižnicu u iznosu od 664,24 eura i udžbenike u iznosu od 2.289,51 eura. Budući da je Škola imala veći broj učenika u odnosu na 2024. godinu, porasli su i rashodi nabave udžbenika.</w:t>
      </w:r>
    </w:p>
    <w:p w:rsidR="00367D6F" w:rsidRDefault="00367D6F"/>
    <w:p w:rsidR="00367D6F" w:rsidRDefault="006D29F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96, 97</w:t>
            </w:r>
          </w:p>
        </w:tc>
        <w:tc>
          <w:tcPr>
            <w:tcW w:w="3180" w:type="dxa"/>
            <w:tcMar>
              <w:top w:w="0" w:type="dxa"/>
              <w:bottom w:w="0" w:type="dxa"/>
            </w:tcMar>
            <w:vAlign w:val="center"/>
          </w:tcPr>
          <w:p w:rsidR="00367D6F" w:rsidRDefault="006D29F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367D6F" w:rsidRDefault="006D29F0">
            <w:pPr>
              <w:keepNext/>
              <w:keepLines/>
              <w:spacing w:after="0" w:line="240" w:lineRule="auto"/>
            </w:pPr>
            <w:r>
              <w:rPr>
                <w:sz w:val="18"/>
              </w:rPr>
              <w:t>96,97</w:t>
            </w:r>
          </w:p>
        </w:tc>
        <w:tc>
          <w:tcPr>
            <w:tcW w:w="1860" w:type="dxa"/>
            <w:tcMar>
              <w:top w:w="0" w:type="dxa"/>
              <w:bottom w:w="0" w:type="dxa"/>
            </w:tcMar>
            <w:vAlign w:val="center"/>
          </w:tcPr>
          <w:p w:rsidR="00367D6F" w:rsidRDefault="006D29F0">
            <w:pPr>
              <w:keepNext/>
              <w:keepLines/>
              <w:spacing w:after="0" w:line="240" w:lineRule="auto"/>
              <w:jc w:val="right"/>
            </w:pPr>
            <w:r>
              <w:rPr>
                <w:sz w:val="18"/>
              </w:rPr>
              <w:t>8.991,16</w:t>
            </w:r>
          </w:p>
        </w:tc>
        <w:tc>
          <w:tcPr>
            <w:tcW w:w="1860" w:type="dxa"/>
            <w:tcMar>
              <w:top w:w="0" w:type="dxa"/>
              <w:bottom w:w="0" w:type="dxa"/>
            </w:tcMar>
            <w:vAlign w:val="center"/>
          </w:tcPr>
          <w:p w:rsidR="00367D6F" w:rsidRDefault="006D29F0">
            <w:pPr>
              <w:keepNext/>
              <w:keepLines/>
              <w:spacing w:after="0" w:line="240" w:lineRule="auto"/>
              <w:jc w:val="right"/>
            </w:pPr>
            <w:r>
              <w:rPr>
                <w:sz w:val="18"/>
              </w:rPr>
              <w:t>104.696,46</w:t>
            </w:r>
          </w:p>
        </w:tc>
        <w:tc>
          <w:tcPr>
            <w:tcW w:w="700" w:type="dxa"/>
            <w:tcMar>
              <w:top w:w="0" w:type="dxa"/>
              <w:bottom w:w="0" w:type="dxa"/>
            </w:tcMar>
            <w:vAlign w:val="center"/>
          </w:tcPr>
          <w:p w:rsidR="00367D6F" w:rsidRDefault="006D29F0">
            <w:pPr>
              <w:keepNext/>
              <w:keepLines/>
              <w:spacing w:after="0" w:line="240" w:lineRule="auto"/>
              <w:jc w:val="right"/>
            </w:pPr>
            <w:r>
              <w:rPr>
                <w:sz w:val="18"/>
              </w:rPr>
              <w:t>1164,4</w:t>
            </w:r>
          </w:p>
        </w:tc>
      </w:tr>
    </w:tbl>
    <w:p w:rsidR="00367D6F" w:rsidRDefault="00367D6F">
      <w:pPr>
        <w:spacing w:after="0"/>
      </w:pPr>
    </w:p>
    <w:p w:rsidR="00367D6F" w:rsidRDefault="006D29F0">
      <w:r>
        <w:t>Obračunati prihodi poslovanja veći su u odnosu na 2024. godinu budući da se od 1. siječnja 2025. godine, temeljem Izmjena i dopuna Pravilnika o proračunskom računovodstvu, u bilanci evidentiraju i potraživanja i obračunati prihodi za pomoći iz državnog proračuna. Radi se o obračunatim prihodima za plaće, prijevoz na posao, naknadi zbog nezapošljavanja osoba s invaliditetom i materijalnim pravima za prosinac 2025. te obračunatom prihodu za nabavu knjige "Herojski Vukovar".</w:t>
      </w:r>
    </w:p>
    <w:p w:rsidR="00367D6F" w:rsidRDefault="00367D6F"/>
    <w:p w:rsidR="00367D6F" w:rsidRDefault="006D29F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sz w:val="18"/>
              </w:rPr>
              <w:t>UKUPNI PRIHODI I PRIMICI (šifre X067+8)</w:t>
            </w:r>
          </w:p>
        </w:tc>
        <w:tc>
          <w:tcPr>
            <w:tcW w:w="700" w:type="dxa"/>
            <w:tcMar>
              <w:top w:w="0" w:type="dxa"/>
              <w:bottom w:w="0" w:type="dxa"/>
            </w:tcMar>
            <w:vAlign w:val="center"/>
          </w:tcPr>
          <w:p w:rsidR="00367D6F" w:rsidRDefault="006D29F0">
            <w:pPr>
              <w:keepNext/>
              <w:keepLines/>
              <w:spacing w:after="0" w:line="240" w:lineRule="auto"/>
            </w:pPr>
            <w:r>
              <w:rPr>
                <w:sz w:val="18"/>
              </w:rPr>
              <w:t>X678</w:t>
            </w:r>
          </w:p>
        </w:tc>
        <w:tc>
          <w:tcPr>
            <w:tcW w:w="1860" w:type="dxa"/>
            <w:tcMar>
              <w:top w:w="0" w:type="dxa"/>
              <w:bottom w:w="0" w:type="dxa"/>
            </w:tcMar>
            <w:vAlign w:val="center"/>
          </w:tcPr>
          <w:p w:rsidR="00367D6F" w:rsidRDefault="006D29F0">
            <w:pPr>
              <w:keepNext/>
              <w:keepLines/>
              <w:spacing w:after="0" w:line="240" w:lineRule="auto"/>
              <w:jc w:val="right"/>
            </w:pPr>
            <w:r>
              <w:rPr>
                <w:sz w:val="18"/>
              </w:rPr>
              <w:t>1.189.650,55</w:t>
            </w:r>
          </w:p>
        </w:tc>
        <w:tc>
          <w:tcPr>
            <w:tcW w:w="1860" w:type="dxa"/>
            <w:tcMar>
              <w:top w:w="0" w:type="dxa"/>
              <w:bottom w:w="0" w:type="dxa"/>
            </w:tcMar>
            <w:vAlign w:val="center"/>
          </w:tcPr>
          <w:p w:rsidR="00367D6F" w:rsidRDefault="006D29F0">
            <w:pPr>
              <w:keepNext/>
              <w:keepLines/>
              <w:spacing w:after="0" w:line="240" w:lineRule="auto"/>
              <w:jc w:val="right"/>
            </w:pPr>
            <w:r>
              <w:rPr>
                <w:sz w:val="18"/>
              </w:rPr>
              <w:t>1.389.275,93</w:t>
            </w:r>
          </w:p>
        </w:tc>
        <w:tc>
          <w:tcPr>
            <w:tcW w:w="700" w:type="dxa"/>
            <w:tcMar>
              <w:top w:w="0" w:type="dxa"/>
              <w:bottom w:w="0" w:type="dxa"/>
            </w:tcMar>
            <w:vAlign w:val="center"/>
          </w:tcPr>
          <w:p w:rsidR="00367D6F" w:rsidRDefault="006D29F0">
            <w:pPr>
              <w:keepNext/>
              <w:keepLines/>
              <w:spacing w:after="0" w:line="240" w:lineRule="auto"/>
              <w:jc w:val="right"/>
            </w:pPr>
            <w:r>
              <w:rPr>
                <w:sz w:val="18"/>
              </w:rPr>
              <w:t>116,8</w:t>
            </w:r>
          </w:p>
        </w:tc>
      </w:tr>
    </w:tbl>
    <w:p w:rsidR="00367D6F" w:rsidRDefault="00367D6F">
      <w:pPr>
        <w:spacing w:after="0"/>
      </w:pPr>
    </w:p>
    <w:p w:rsidR="00367D6F" w:rsidRDefault="006D29F0">
      <w:r>
        <w:t>Ukupni prihodi i primici veći su od ostvarenih u 2024. godini. Tekuće pomoći iz državnog proračuna veće su od ostvarenih 2024. godine zbog povećanja prihoda za plaće financirane iz državnog proračuna. Naime, prošle godine došlo je do povećanja obračunskih koeficijenata, a od 2025. godine i povećanja osnovice za izračun plaće. Kapitalne pomoći iz državnog proračuna su veće od ostvarenih u 2024. godini budući da je Škola uz prihode za nabavu udžbenika i knjiga za knjižnicu ostvarila i prihode za nabavu opreme u okviru projekata "Sanjaj budućnost" i "Zeleni horizonti - pogled u budućnost".  Također, Škola je ostvarila i tekuće pomoći za financiranje projekata "Sanjaj budućnost", "Zeleni horizonti - pogled u budućnost" i "</w:t>
      </w:r>
      <w:proofErr w:type="spellStart"/>
      <w:r>
        <w:t>Cybercooltura</w:t>
      </w:r>
      <w:proofErr w:type="spellEnd"/>
      <w:r>
        <w:t xml:space="preserve">". Tekuće pomoći temeljem prijenosa EU sredstava ostvarene su za sufinanciranje projekta </w:t>
      </w:r>
      <w:proofErr w:type="spellStart"/>
      <w:r>
        <w:t>Rinkluzija</w:t>
      </w:r>
      <w:proofErr w:type="spellEnd"/>
      <w:r>
        <w:t xml:space="preserve"> 8 ( zapošljavanje pomoćnika u nastavi). Veće su od ostvarenih u 2024. godini budući da se dio prihoda iz 2025. godine odnosi na pokriće manjka prihoda iz 2024. godine u okviru ovog projekta. Ostvareni prihodi iz gradskog proračuna veći su od ostvarenih u 2024. godini radi povećanih prihoda za financiranje programa Moja Rijeka i Građanski odgoj i obrazovanje te prihoda za sufinanciranje Programa stvaralaštva i Zdravstveni odgoj i obrazovanje kojih u 2024. godini nije bilo te prihoda za financiranje mjera sigurnosti, tj. ugradnje ulaznih vrata i popravak video-nadzora.</w:t>
      </w:r>
    </w:p>
    <w:p w:rsidR="00367D6F" w:rsidRDefault="00367D6F"/>
    <w:p w:rsidR="00367D6F" w:rsidRDefault="006D29F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sz w:val="18"/>
              </w:rPr>
              <w:t>UKUPNI RASHODI I IZDACI (šifre Y034+5)</w:t>
            </w:r>
          </w:p>
        </w:tc>
        <w:tc>
          <w:tcPr>
            <w:tcW w:w="700" w:type="dxa"/>
            <w:tcMar>
              <w:top w:w="0" w:type="dxa"/>
              <w:bottom w:w="0" w:type="dxa"/>
            </w:tcMar>
            <w:vAlign w:val="center"/>
          </w:tcPr>
          <w:p w:rsidR="00367D6F" w:rsidRDefault="006D29F0">
            <w:pPr>
              <w:keepNext/>
              <w:keepLines/>
              <w:spacing w:after="0" w:line="240" w:lineRule="auto"/>
            </w:pPr>
            <w:r>
              <w:rPr>
                <w:sz w:val="18"/>
              </w:rPr>
              <w:t>Y345</w:t>
            </w:r>
          </w:p>
        </w:tc>
        <w:tc>
          <w:tcPr>
            <w:tcW w:w="1860" w:type="dxa"/>
            <w:tcMar>
              <w:top w:w="0" w:type="dxa"/>
              <w:bottom w:w="0" w:type="dxa"/>
            </w:tcMar>
            <w:vAlign w:val="center"/>
          </w:tcPr>
          <w:p w:rsidR="00367D6F" w:rsidRDefault="006D29F0">
            <w:pPr>
              <w:keepNext/>
              <w:keepLines/>
              <w:spacing w:after="0" w:line="240" w:lineRule="auto"/>
              <w:jc w:val="right"/>
            </w:pPr>
            <w:r>
              <w:rPr>
                <w:sz w:val="18"/>
              </w:rPr>
              <w:t>1.205.508,47</w:t>
            </w:r>
          </w:p>
        </w:tc>
        <w:tc>
          <w:tcPr>
            <w:tcW w:w="1860" w:type="dxa"/>
            <w:tcMar>
              <w:top w:w="0" w:type="dxa"/>
              <w:bottom w:w="0" w:type="dxa"/>
            </w:tcMar>
            <w:vAlign w:val="center"/>
          </w:tcPr>
          <w:p w:rsidR="00367D6F" w:rsidRDefault="006D29F0">
            <w:pPr>
              <w:keepNext/>
              <w:keepLines/>
              <w:spacing w:after="0" w:line="240" w:lineRule="auto"/>
              <w:jc w:val="right"/>
            </w:pPr>
            <w:r>
              <w:rPr>
                <w:sz w:val="18"/>
              </w:rPr>
              <w:t>1.470.343,79</w:t>
            </w:r>
          </w:p>
        </w:tc>
        <w:tc>
          <w:tcPr>
            <w:tcW w:w="700" w:type="dxa"/>
            <w:tcMar>
              <w:top w:w="0" w:type="dxa"/>
              <w:bottom w:w="0" w:type="dxa"/>
            </w:tcMar>
            <w:vAlign w:val="center"/>
          </w:tcPr>
          <w:p w:rsidR="00367D6F" w:rsidRDefault="006D29F0">
            <w:pPr>
              <w:keepNext/>
              <w:keepLines/>
              <w:spacing w:after="0" w:line="240" w:lineRule="auto"/>
              <w:jc w:val="right"/>
            </w:pPr>
            <w:r>
              <w:rPr>
                <w:sz w:val="18"/>
              </w:rPr>
              <w:t>122,0</w:t>
            </w:r>
          </w:p>
        </w:tc>
      </w:tr>
    </w:tbl>
    <w:p w:rsidR="00367D6F" w:rsidRDefault="00367D6F">
      <w:pPr>
        <w:spacing w:after="0"/>
      </w:pPr>
    </w:p>
    <w:p w:rsidR="00367D6F" w:rsidRDefault="006D29F0">
      <w:r>
        <w:t xml:space="preserve">Ukupni rashodi i izdaci za 2025. godinu veći su od ostvarenih u 2024. godini ponajviše radi povećanja rashoda za plaće, koji su veći u odnosu na 2024. godinu. Osim obračunskih koeficijenata i osnovice za obračun plaće koji su utjecali na povećanje rashoda za plaće, člankom 23. Pravilnika o proračunskom računovodstvu i računskom planu propisano je da se podskupina 193 Kontinuirani rashodi budućih razdoblja ukida te da se od 1. siječnja 2025. kontinuirani rashodi budućih razdoblja prenose na odgovarajuće račune razreda 3 Rashodi poslovanja. Stoga je plaća, prijevoz na posao i naknada zbog nezapošljavanja osoba s invaliditetom za prosinac 2025. godine, koja se financira iz državnog proračuna, proknjižena kao rashod u mjesecu prosincu 2025. godine, a rashod za plaću za prosinac 2024. godine knjižen je kao rashod siječnja 2025. godine. Također, u projektu </w:t>
      </w:r>
      <w:proofErr w:type="spellStart"/>
      <w:r>
        <w:t>Rinkluzija</w:t>
      </w:r>
      <w:proofErr w:type="spellEnd"/>
      <w:r>
        <w:t xml:space="preserve"> 8 zaposlene su četiri pomoćnice / pomoćnika u nastavi, a povećani su i rashodi za zaposlene u okviru programa Moja Rijeka, Građanski odgoj i obrazovanje i Zdravstveni odgoj.</w:t>
      </w:r>
    </w:p>
    <w:p w:rsidR="00367D6F" w:rsidRDefault="00367D6F"/>
    <w:p w:rsidR="00367D6F" w:rsidRDefault="006D29F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sz w:val="18"/>
              </w:rPr>
              <w:t>MANJAK PRIHODA I PRIMITAKA (šifre Y345-X678)</w:t>
            </w:r>
          </w:p>
        </w:tc>
        <w:tc>
          <w:tcPr>
            <w:tcW w:w="700" w:type="dxa"/>
            <w:tcMar>
              <w:top w:w="0" w:type="dxa"/>
              <w:bottom w:w="0" w:type="dxa"/>
            </w:tcMar>
            <w:vAlign w:val="center"/>
          </w:tcPr>
          <w:p w:rsidR="00367D6F" w:rsidRDefault="006D29F0">
            <w:pPr>
              <w:keepNext/>
              <w:keepLines/>
              <w:spacing w:after="0" w:line="240" w:lineRule="auto"/>
            </w:pPr>
            <w:r>
              <w:rPr>
                <w:sz w:val="18"/>
              </w:rPr>
              <w:t>Y005</w:t>
            </w:r>
          </w:p>
        </w:tc>
        <w:tc>
          <w:tcPr>
            <w:tcW w:w="1860" w:type="dxa"/>
            <w:tcMar>
              <w:top w:w="0" w:type="dxa"/>
              <w:bottom w:w="0" w:type="dxa"/>
            </w:tcMar>
            <w:vAlign w:val="center"/>
          </w:tcPr>
          <w:p w:rsidR="00367D6F" w:rsidRDefault="006D29F0">
            <w:pPr>
              <w:keepNext/>
              <w:keepLines/>
              <w:spacing w:after="0" w:line="240" w:lineRule="auto"/>
              <w:jc w:val="right"/>
            </w:pPr>
            <w:r>
              <w:rPr>
                <w:sz w:val="18"/>
              </w:rPr>
              <w:t>15.857,92</w:t>
            </w:r>
          </w:p>
        </w:tc>
        <w:tc>
          <w:tcPr>
            <w:tcW w:w="1860" w:type="dxa"/>
            <w:tcMar>
              <w:top w:w="0" w:type="dxa"/>
              <w:bottom w:w="0" w:type="dxa"/>
            </w:tcMar>
            <w:vAlign w:val="center"/>
          </w:tcPr>
          <w:p w:rsidR="00367D6F" w:rsidRDefault="006D29F0">
            <w:pPr>
              <w:keepNext/>
              <w:keepLines/>
              <w:spacing w:after="0" w:line="240" w:lineRule="auto"/>
              <w:jc w:val="right"/>
            </w:pPr>
            <w:r>
              <w:rPr>
                <w:sz w:val="18"/>
              </w:rPr>
              <w:t>81.067,86</w:t>
            </w:r>
          </w:p>
        </w:tc>
        <w:tc>
          <w:tcPr>
            <w:tcW w:w="700" w:type="dxa"/>
            <w:tcMar>
              <w:top w:w="0" w:type="dxa"/>
              <w:bottom w:w="0" w:type="dxa"/>
            </w:tcMar>
            <w:vAlign w:val="center"/>
          </w:tcPr>
          <w:p w:rsidR="00367D6F" w:rsidRDefault="006D29F0">
            <w:pPr>
              <w:keepNext/>
              <w:keepLines/>
              <w:spacing w:after="0" w:line="240" w:lineRule="auto"/>
              <w:jc w:val="right"/>
            </w:pPr>
            <w:r>
              <w:rPr>
                <w:sz w:val="18"/>
              </w:rPr>
              <w:t>511,2</w:t>
            </w:r>
          </w:p>
        </w:tc>
      </w:tr>
    </w:tbl>
    <w:p w:rsidR="00367D6F" w:rsidRDefault="00367D6F">
      <w:pPr>
        <w:spacing w:after="0"/>
      </w:pPr>
    </w:p>
    <w:p w:rsidR="00367D6F" w:rsidRDefault="006D29F0">
      <w:r>
        <w:t>Manjak prihoda ostvaren u 2025. godini iznosi 81.067,86 eura. Zajedno s prenesenim manjkom prihoda iz 2024. godine koji je iznosio 19.920,21 eura, manjak prihoda za pokriće u sljedećem razdoblju iznosi 100.988,07 eura i sastoji se od manjka prihoda poslovanja u iznosu od 102.757,05 eura i viška prihoda od nefinancijske imovine u iznosu od 1.768,98 eura.</w:t>
      </w:r>
    </w:p>
    <w:p w:rsidR="00367D6F" w:rsidRDefault="006D29F0">
      <w:r>
        <w:t>Manjak prihoda poslovanja u iznosu od 102.757,05 eura prema izvorima sastoji se od: manjka prihoda od Grada Rijeke (izvor 1100) u iznosu od 10.818,61 eura, manjka prihoda od Grada Rijeke (izvor 4110) u iznosu od 6.024,81 eura, viška vlastitih prihoda (izvor 3100) u iznosu 4.057,07 eura, viška prihoda po posebnim prihodima (izvor 4400) u iznosu od 6.846,71 eura, manjka prihoda iz državnog proračuna (izvor 5710) u iznosu od 86.649,83 eura, manjka prihoda od tekućih pomoći temeljem prijenosa EU sredstava (izvor 5760) u iznosu od 10.167,90 eura i viška prihoda od tekućih donacija (izvor 6200) u iznosu od 0,32 eura.</w:t>
      </w:r>
    </w:p>
    <w:p w:rsidR="00367D6F" w:rsidRDefault="006D29F0">
      <w:r>
        <w:t>Višak prihoda od nefinancijske imovine u iznosu od 1.768,98 eura prema izvorima sastoji se od: viška prihoda iz državnog proračuna (izvor 5710) u iznosu od 1.659,21 eura, viška prihoda od kapitalnih donacija (izvor 6200) u iznosu od 24,00 eura i viška prihoda od prodaje stanova (izvor 7300) u iznosu od 85,77 eura.</w:t>
      </w:r>
    </w:p>
    <w:p w:rsidR="00367D6F" w:rsidRDefault="006D29F0">
      <w:r>
        <w:t> </w:t>
      </w:r>
    </w:p>
    <w:p w:rsidR="00367D6F" w:rsidRDefault="00367D6F"/>
    <w:p w:rsidR="00367D6F" w:rsidRDefault="006D29F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9222-9221</w:t>
            </w:r>
          </w:p>
        </w:tc>
        <w:tc>
          <w:tcPr>
            <w:tcW w:w="3180" w:type="dxa"/>
            <w:tcMar>
              <w:top w:w="0" w:type="dxa"/>
              <w:bottom w:w="0" w:type="dxa"/>
            </w:tcMar>
            <w:vAlign w:val="center"/>
          </w:tcPr>
          <w:p w:rsidR="00367D6F" w:rsidRDefault="006D29F0">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rsidR="00367D6F" w:rsidRDefault="006D29F0">
            <w:pPr>
              <w:keepNext/>
              <w:keepLines/>
              <w:spacing w:after="0" w:line="240" w:lineRule="auto"/>
            </w:pPr>
            <w:r>
              <w:rPr>
                <w:sz w:val="18"/>
              </w:rPr>
              <w:t>9222-9221</w:t>
            </w:r>
          </w:p>
        </w:tc>
        <w:tc>
          <w:tcPr>
            <w:tcW w:w="1860" w:type="dxa"/>
            <w:tcMar>
              <w:top w:w="0" w:type="dxa"/>
              <w:bottom w:w="0" w:type="dxa"/>
            </w:tcMar>
            <w:vAlign w:val="center"/>
          </w:tcPr>
          <w:p w:rsidR="00367D6F" w:rsidRDefault="006D29F0">
            <w:pPr>
              <w:keepNext/>
              <w:keepLines/>
              <w:spacing w:after="0" w:line="240" w:lineRule="auto"/>
              <w:jc w:val="right"/>
            </w:pPr>
            <w:r>
              <w:rPr>
                <w:sz w:val="18"/>
              </w:rPr>
              <w:t>4.062,29</w:t>
            </w:r>
          </w:p>
        </w:tc>
        <w:tc>
          <w:tcPr>
            <w:tcW w:w="1860" w:type="dxa"/>
            <w:tcMar>
              <w:top w:w="0" w:type="dxa"/>
              <w:bottom w:w="0" w:type="dxa"/>
            </w:tcMar>
            <w:vAlign w:val="center"/>
          </w:tcPr>
          <w:p w:rsidR="00367D6F" w:rsidRDefault="006D29F0">
            <w:pPr>
              <w:keepNext/>
              <w:keepLines/>
              <w:spacing w:after="0" w:line="240" w:lineRule="auto"/>
              <w:jc w:val="right"/>
            </w:pPr>
            <w:r>
              <w:rPr>
                <w:sz w:val="18"/>
              </w:rPr>
              <w:t>19.920,21</w:t>
            </w:r>
          </w:p>
        </w:tc>
        <w:tc>
          <w:tcPr>
            <w:tcW w:w="700" w:type="dxa"/>
            <w:tcMar>
              <w:top w:w="0" w:type="dxa"/>
              <w:bottom w:w="0" w:type="dxa"/>
            </w:tcMar>
            <w:vAlign w:val="center"/>
          </w:tcPr>
          <w:p w:rsidR="00367D6F" w:rsidRDefault="006D29F0">
            <w:pPr>
              <w:keepNext/>
              <w:keepLines/>
              <w:spacing w:after="0" w:line="240" w:lineRule="auto"/>
              <w:jc w:val="right"/>
            </w:pPr>
            <w:r>
              <w:rPr>
                <w:sz w:val="18"/>
              </w:rPr>
              <w:t>490,4</w:t>
            </w:r>
          </w:p>
        </w:tc>
      </w:tr>
    </w:tbl>
    <w:p w:rsidR="00367D6F" w:rsidRDefault="00367D6F">
      <w:pPr>
        <w:spacing w:after="0"/>
      </w:pPr>
    </w:p>
    <w:p w:rsidR="00367D6F" w:rsidRDefault="006D29F0">
      <w:r>
        <w:t>Preneseni manjak prihoda iz 2024. godine iznosi 19.920,21 eura i sastoji se od manjka prihoda poslovanja u iznosu od 19.954,69 eura i viška prihoda od nefinancijske imovine u iznosu od 34,48 eura.</w:t>
      </w:r>
    </w:p>
    <w:p w:rsidR="00367D6F" w:rsidRDefault="00367D6F"/>
    <w:p w:rsidR="00367D6F" w:rsidRDefault="006D29F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367D6F" w:rsidRDefault="006D29F0">
            <w:pPr>
              <w:keepNext/>
              <w:keepLines/>
              <w:spacing w:after="0" w:line="240" w:lineRule="auto"/>
            </w:pPr>
            <w:r>
              <w:rPr>
                <w:sz w:val="18"/>
              </w:rPr>
              <w:t>Y006</w:t>
            </w:r>
          </w:p>
        </w:tc>
        <w:tc>
          <w:tcPr>
            <w:tcW w:w="1860" w:type="dxa"/>
            <w:tcMar>
              <w:top w:w="0" w:type="dxa"/>
              <w:bottom w:w="0" w:type="dxa"/>
            </w:tcMar>
            <w:vAlign w:val="center"/>
          </w:tcPr>
          <w:p w:rsidR="00367D6F" w:rsidRDefault="006D29F0">
            <w:pPr>
              <w:keepNext/>
              <w:keepLines/>
              <w:spacing w:after="0" w:line="240" w:lineRule="auto"/>
              <w:jc w:val="right"/>
            </w:pPr>
            <w:r>
              <w:rPr>
                <w:sz w:val="18"/>
              </w:rPr>
              <w:t>19.920,21</w:t>
            </w:r>
          </w:p>
        </w:tc>
        <w:tc>
          <w:tcPr>
            <w:tcW w:w="1860" w:type="dxa"/>
            <w:tcMar>
              <w:top w:w="0" w:type="dxa"/>
              <w:bottom w:w="0" w:type="dxa"/>
            </w:tcMar>
            <w:vAlign w:val="center"/>
          </w:tcPr>
          <w:p w:rsidR="00367D6F" w:rsidRDefault="006D29F0">
            <w:pPr>
              <w:keepNext/>
              <w:keepLines/>
              <w:spacing w:after="0" w:line="240" w:lineRule="auto"/>
              <w:jc w:val="right"/>
            </w:pPr>
            <w:r>
              <w:rPr>
                <w:sz w:val="18"/>
              </w:rPr>
              <w:t>100.988,07</w:t>
            </w:r>
          </w:p>
        </w:tc>
        <w:tc>
          <w:tcPr>
            <w:tcW w:w="700" w:type="dxa"/>
            <w:tcMar>
              <w:top w:w="0" w:type="dxa"/>
              <w:bottom w:w="0" w:type="dxa"/>
            </w:tcMar>
            <w:vAlign w:val="center"/>
          </w:tcPr>
          <w:p w:rsidR="00367D6F" w:rsidRDefault="006D29F0">
            <w:pPr>
              <w:keepNext/>
              <w:keepLines/>
              <w:spacing w:after="0" w:line="240" w:lineRule="auto"/>
              <w:jc w:val="right"/>
            </w:pPr>
            <w:r>
              <w:rPr>
                <w:sz w:val="18"/>
              </w:rPr>
              <w:t>507,0</w:t>
            </w:r>
          </w:p>
        </w:tc>
      </w:tr>
    </w:tbl>
    <w:p w:rsidR="00367D6F" w:rsidRDefault="00367D6F">
      <w:pPr>
        <w:spacing w:after="0"/>
      </w:pPr>
    </w:p>
    <w:p w:rsidR="00367D6F" w:rsidRDefault="006D29F0">
      <w:r>
        <w:t>Manjak prihoda ostvaren u 2025. godini iznosi 81.067,86 eura. Zajedno s prenesenim manjkom prihoda iz 2024. godine koji je iznosio 19.920,21 eura, manjak prihoda za pokriće u sljedećem razdoblju iznosi 100.988,07 eura i sastoji se od manjka prihoda poslovanja u iznosu od 102.757,05 eura i viška prihoda od nefinancijske imovine u iznosu od 1.768,98 eura.</w:t>
      </w:r>
    </w:p>
    <w:p w:rsidR="00367D6F" w:rsidRDefault="006D29F0">
      <w:r>
        <w:t>Manjak prihoda poslovanja u iznosu od 102.757,05 eura prema izvorima sastoji se od: manjka prihoda od Grada Rijeke (izvor 1100) u iznosu od 10.818,61 eura, manjka prihoda od Grada Rijeke (izvor 4110) u iznosu od 6.024,81 eura, viška vlastitih prihoda (izvor 3100) u iznosu 4.057,07 eura, viška prihoda po posebnim prihodima (izvor 4400) u iznosu od 6.846,71 eura, manjka prihoda iz državnog proračuna (izvor 5710) u iznosu od 86.649,83 eura, manjka prihoda od tekućih pomoći temeljem prijenosa EU sredstava (izvor 5760) u iznosu od 10.167,90 eura i viška prihoda od tekućih donacija (izvor 6200) u iznosu od 0,32 eura.</w:t>
      </w:r>
    </w:p>
    <w:p w:rsidR="00367D6F" w:rsidRDefault="006D29F0">
      <w:r>
        <w:t>Višak prihoda od nefinancijske imovine u iznosu od 1.768,98 eura prema izvorima sastoji se od: viška prihoda iz državnog proračuna (izvor 5710) u iznosu od 1.659,21 eura, viška prihoda od kapitalnih donacija (izvor 6200) u iznosu od 24,00 eura i viška prihoda od prodaje stanova (izvor 7300) u iznosu od 85,77 eura.</w:t>
      </w:r>
    </w:p>
    <w:p w:rsidR="00367D6F" w:rsidRDefault="006D29F0">
      <w:r>
        <w:t> </w:t>
      </w:r>
    </w:p>
    <w:p w:rsidR="00367D6F" w:rsidRDefault="00367D6F"/>
    <w:p w:rsidR="00367D6F" w:rsidRDefault="006D29F0">
      <w:pPr>
        <w:keepNext/>
        <w:spacing w:line="240" w:lineRule="auto"/>
        <w:jc w:val="center"/>
      </w:pPr>
      <w:r>
        <w:rPr>
          <w:b/>
          <w:sz w:val="28"/>
        </w:rPr>
        <w:t>Bilanca</w:t>
      </w:r>
    </w:p>
    <w:p w:rsidR="00367D6F" w:rsidRDefault="006D29F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02</w:t>
            </w:r>
          </w:p>
        </w:tc>
        <w:tc>
          <w:tcPr>
            <w:tcW w:w="3180" w:type="dxa"/>
            <w:tcMar>
              <w:top w:w="0" w:type="dxa"/>
              <w:bottom w:w="0" w:type="dxa"/>
            </w:tcMar>
            <w:vAlign w:val="center"/>
          </w:tcPr>
          <w:p w:rsidR="00367D6F" w:rsidRDefault="006D29F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367D6F" w:rsidRDefault="006D29F0">
            <w:pPr>
              <w:keepNext/>
              <w:keepLines/>
              <w:spacing w:after="0" w:line="240" w:lineRule="auto"/>
            </w:pPr>
            <w:r>
              <w:rPr>
                <w:sz w:val="18"/>
              </w:rPr>
              <w:t>02</w:t>
            </w:r>
          </w:p>
        </w:tc>
        <w:tc>
          <w:tcPr>
            <w:tcW w:w="1860" w:type="dxa"/>
            <w:tcMar>
              <w:top w:w="0" w:type="dxa"/>
              <w:bottom w:w="0" w:type="dxa"/>
            </w:tcMar>
            <w:vAlign w:val="center"/>
          </w:tcPr>
          <w:p w:rsidR="00367D6F" w:rsidRDefault="006D29F0">
            <w:pPr>
              <w:keepNext/>
              <w:keepLines/>
              <w:spacing w:after="0" w:line="240" w:lineRule="auto"/>
              <w:jc w:val="right"/>
            </w:pPr>
            <w:r>
              <w:rPr>
                <w:sz w:val="18"/>
              </w:rPr>
              <w:t>116.394,23</w:t>
            </w:r>
          </w:p>
        </w:tc>
        <w:tc>
          <w:tcPr>
            <w:tcW w:w="1860" w:type="dxa"/>
            <w:tcMar>
              <w:top w:w="0" w:type="dxa"/>
              <w:bottom w:w="0" w:type="dxa"/>
            </w:tcMar>
            <w:vAlign w:val="center"/>
          </w:tcPr>
          <w:p w:rsidR="00367D6F" w:rsidRDefault="006D29F0">
            <w:pPr>
              <w:keepNext/>
              <w:keepLines/>
              <w:spacing w:after="0" w:line="240" w:lineRule="auto"/>
              <w:jc w:val="right"/>
            </w:pPr>
            <w:r>
              <w:rPr>
                <w:sz w:val="18"/>
              </w:rPr>
              <w:t>99.342,02</w:t>
            </w:r>
          </w:p>
        </w:tc>
        <w:tc>
          <w:tcPr>
            <w:tcW w:w="700" w:type="dxa"/>
            <w:tcMar>
              <w:top w:w="0" w:type="dxa"/>
              <w:bottom w:w="0" w:type="dxa"/>
            </w:tcMar>
            <w:vAlign w:val="center"/>
          </w:tcPr>
          <w:p w:rsidR="00367D6F" w:rsidRDefault="006D29F0">
            <w:pPr>
              <w:keepNext/>
              <w:keepLines/>
              <w:spacing w:after="0" w:line="240" w:lineRule="auto"/>
              <w:jc w:val="right"/>
            </w:pPr>
            <w:r>
              <w:rPr>
                <w:sz w:val="18"/>
              </w:rPr>
              <w:t>85,3</w:t>
            </w:r>
          </w:p>
        </w:tc>
      </w:tr>
    </w:tbl>
    <w:p w:rsidR="00367D6F" w:rsidRDefault="00367D6F">
      <w:pPr>
        <w:spacing w:after="0"/>
      </w:pPr>
    </w:p>
    <w:p w:rsidR="00367D6F" w:rsidRDefault="006D29F0">
      <w:r>
        <w:t>Škola je u 2025. godini nabavila digitalni mikroskop u iznosu od 258,75 eura, školsku ploču u iznosu od 433,05 eura, knjige za školsku knjižnicu u iznosu od 664,24 eura i udžbenike u iznosu od 2.289,51 eura. </w:t>
      </w:r>
    </w:p>
    <w:p w:rsidR="00367D6F" w:rsidRDefault="00367D6F"/>
    <w:p w:rsidR="00367D6F" w:rsidRDefault="006D29F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022 i 02922</w:t>
            </w:r>
          </w:p>
        </w:tc>
        <w:tc>
          <w:tcPr>
            <w:tcW w:w="3180" w:type="dxa"/>
            <w:tcMar>
              <w:top w:w="0" w:type="dxa"/>
              <w:bottom w:w="0" w:type="dxa"/>
            </w:tcMar>
            <w:vAlign w:val="center"/>
          </w:tcPr>
          <w:p w:rsidR="00367D6F" w:rsidRDefault="006D29F0">
            <w:pPr>
              <w:keepNext/>
              <w:keepLines/>
              <w:spacing w:after="0" w:line="240" w:lineRule="auto"/>
            </w:pPr>
            <w:r>
              <w:rPr>
                <w:sz w:val="18"/>
              </w:rPr>
              <w:t>Postrojenja i oprema (šifre 0221 do 0228 - 02922)</w:t>
            </w:r>
          </w:p>
        </w:tc>
        <w:tc>
          <w:tcPr>
            <w:tcW w:w="700" w:type="dxa"/>
            <w:tcMar>
              <w:top w:w="0" w:type="dxa"/>
              <w:bottom w:w="0" w:type="dxa"/>
            </w:tcMar>
            <w:vAlign w:val="center"/>
          </w:tcPr>
          <w:p w:rsidR="00367D6F" w:rsidRDefault="006D29F0">
            <w:pPr>
              <w:keepNext/>
              <w:keepLines/>
              <w:spacing w:after="0" w:line="240" w:lineRule="auto"/>
            </w:pPr>
            <w:r>
              <w:rPr>
                <w:sz w:val="18"/>
              </w:rPr>
              <w:t>022 i 02922</w:t>
            </w:r>
          </w:p>
        </w:tc>
        <w:tc>
          <w:tcPr>
            <w:tcW w:w="1860" w:type="dxa"/>
            <w:tcMar>
              <w:top w:w="0" w:type="dxa"/>
              <w:bottom w:w="0" w:type="dxa"/>
            </w:tcMar>
            <w:vAlign w:val="center"/>
          </w:tcPr>
          <w:p w:rsidR="00367D6F" w:rsidRDefault="006D29F0">
            <w:pPr>
              <w:keepNext/>
              <w:keepLines/>
              <w:spacing w:after="0" w:line="240" w:lineRule="auto"/>
              <w:jc w:val="right"/>
            </w:pPr>
            <w:r>
              <w:rPr>
                <w:sz w:val="18"/>
              </w:rPr>
              <w:t>36.715,16</w:t>
            </w:r>
          </w:p>
        </w:tc>
        <w:tc>
          <w:tcPr>
            <w:tcW w:w="1860" w:type="dxa"/>
            <w:tcMar>
              <w:top w:w="0" w:type="dxa"/>
              <w:bottom w:w="0" w:type="dxa"/>
            </w:tcMar>
            <w:vAlign w:val="center"/>
          </w:tcPr>
          <w:p w:rsidR="00367D6F" w:rsidRDefault="006D29F0">
            <w:pPr>
              <w:keepNext/>
              <w:keepLines/>
              <w:spacing w:after="0" w:line="240" w:lineRule="auto"/>
              <w:jc w:val="right"/>
            </w:pPr>
            <w:r>
              <w:rPr>
                <w:sz w:val="18"/>
              </w:rPr>
              <w:t>21.561,35</w:t>
            </w:r>
          </w:p>
        </w:tc>
        <w:tc>
          <w:tcPr>
            <w:tcW w:w="700" w:type="dxa"/>
            <w:tcMar>
              <w:top w:w="0" w:type="dxa"/>
              <w:bottom w:w="0" w:type="dxa"/>
            </w:tcMar>
            <w:vAlign w:val="center"/>
          </w:tcPr>
          <w:p w:rsidR="00367D6F" w:rsidRDefault="006D29F0">
            <w:pPr>
              <w:keepNext/>
              <w:keepLines/>
              <w:spacing w:after="0" w:line="240" w:lineRule="auto"/>
              <w:jc w:val="right"/>
            </w:pPr>
            <w:r>
              <w:rPr>
                <w:sz w:val="18"/>
              </w:rPr>
              <w:t>58,7</w:t>
            </w:r>
          </w:p>
        </w:tc>
      </w:tr>
    </w:tbl>
    <w:p w:rsidR="00367D6F" w:rsidRDefault="00367D6F">
      <w:pPr>
        <w:spacing w:after="0"/>
      </w:pPr>
    </w:p>
    <w:p w:rsidR="00367D6F" w:rsidRDefault="006D29F0">
      <w:r>
        <w:t>Škola je u 2025. godini nabavila digitalni mikroskop u iznosu od 258,75 eura i školsku ploču u iznosu od 433,05 eura. Temeljem Izvješća o obavljenom popisu osnovnih sredstava (osim knjiga) sa stanjem na dan 31.12.2025. i Odluke ravnateljice, proveden je rashod imovine u iznosu od 922,71 eura.</w:t>
      </w:r>
    </w:p>
    <w:p w:rsidR="00367D6F" w:rsidRDefault="00367D6F"/>
    <w:p w:rsidR="00367D6F" w:rsidRDefault="006D29F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024 i 02924</w:t>
            </w:r>
          </w:p>
        </w:tc>
        <w:tc>
          <w:tcPr>
            <w:tcW w:w="3180" w:type="dxa"/>
            <w:tcMar>
              <w:top w:w="0" w:type="dxa"/>
              <w:bottom w:w="0" w:type="dxa"/>
            </w:tcMar>
            <w:vAlign w:val="center"/>
          </w:tcPr>
          <w:p w:rsidR="00367D6F" w:rsidRDefault="006D29F0">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rsidR="00367D6F" w:rsidRDefault="006D29F0">
            <w:pPr>
              <w:keepNext/>
              <w:keepLines/>
              <w:spacing w:after="0" w:line="240" w:lineRule="auto"/>
            </w:pPr>
            <w:r>
              <w:rPr>
                <w:sz w:val="18"/>
              </w:rPr>
              <w:t>024 i 02924</w:t>
            </w:r>
          </w:p>
        </w:tc>
        <w:tc>
          <w:tcPr>
            <w:tcW w:w="1860" w:type="dxa"/>
            <w:tcMar>
              <w:top w:w="0" w:type="dxa"/>
              <w:bottom w:w="0" w:type="dxa"/>
            </w:tcMar>
            <w:vAlign w:val="center"/>
          </w:tcPr>
          <w:p w:rsidR="00367D6F" w:rsidRDefault="006D29F0">
            <w:pPr>
              <w:keepNext/>
              <w:keepLines/>
              <w:spacing w:after="0" w:line="240" w:lineRule="auto"/>
              <w:jc w:val="right"/>
            </w:pPr>
            <w:r>
              <w:rPr>
                <w:sz w:val="18"/>
              </w:rPr>
              <w:t>2.733,82</w:t>
            </w:r>
          </w:p>
        </w:tc>
        <w:tc>
          <w:tcPr>
            <w:tcW w:w="1860" w:type="dxa"/>
            <w:tcMar>
              <w:top w:w="0" w:type="dxa"/>
              <w:bottom w:w="0" w:type="dxa"/>
            </w:tcMar>
            <w:vAlign w:val="center"/>
          </w:tcPr>
          <w:p w:rsidR="00367D6F" w:rsidRDefault="006D29F0">
            <w:pPr>
              <w:keepNext/>
              <w:keepLines/>
              <w:spacing w:after="0" w:line="240" w:lineRule="auto"/>
              <w:jc w:val="right"/>
            </w:pPr>
            <w:r>
              <w:rPr>
                <w:sz w:val="18"/>
              </w:rPr>
              <w:t>5.267,41</w:t>
            </w:r>
          </w:p>
        </w:tc>
        <w:tc>
          <w:tcPr>
            <w:tcW w:w="700" w:type="dxa"/>
            <w:tcMar>
              <w:top w:w="0" w:type="dxa"/>
              <w:bottom w:w="0" w:type="dxa"/>
            </w:tcMar>
            <w:vAlign w:val="center"/>
          </w:tcPr>
          <w:p w:rsidR="00367D6F" w:rsidRDefault="006D29F0">
            <w:pPr>
              <w:keepNext/>
              <w:keepLines/>
              <w:spacing w:after="0" w:line="240" w:lineRule="auto"/>
              <w:jc w:val="right"/>
            </w:pPr>
            <w:r>
              <w:rPr>
                <w:sz w:val="18"/>
              </w:rPr>
              <w:t>192,7</w:t>
            </w:r>
          </w:p>
        </w:tc>
      </w:tr>
    </w:tbl>
    <w:p w:rsidR="00367D6F" w:rsidRDefault="00367D6F">
      <w:pPr>
        <w:spacing w:after="0"/>
      </w:pPr>
    </w:p>
    <w:p w:rsidR="00367D6F" w:rsidRDefault="006D29F0">
      <w:r>
        <w:t>Škola je u 2025. godini nabavila  knjige za školsku knjižnicu u iznosu od 664,24 eura i udžbenike u iznosu od 2.289,51 eura.  Temeljem Izvješća o reviziji i otpisu knjižničnog fonda u 2025. godini i Odluke Školskog odbora proveden je rashod knjiga u knjižnici u iznosu od 1.459,43 eura.</w:t>
      </w:r>
    </w:p>
    <w:p w:rsidR="00367D6F" w:rsidRDefault="00367D6F"/>
    <w:p w:rsidR="00367D6F" w:rsidRDefault="006D29F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026 i 02926</w:t>
            </w:r>
          </w:p>
        </w:tc>
        <w:tc>
          <w:tcPr>
            <w:tcW w:w="3180" w:type="dxa"/>
            <w:tcMar>
              <w:top w:w="0" w:type="dxa"/>
              <w:bottom w:w="0" w:type="dxa"/>
            </w:tcMar>
            <w:vAlign w:val="center"/>
          </w:tcPr>
          <w:p w:rsidR="00367D6F" w:rsidRDefault="006D29F0">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rsidR="00367D6F" w:rsidRDefault="006D29F0">
            <w:pPr>
              <w:keepNext/>
              <w:keepLines/>
              <w:spacing w:after="0" w:line="240" w:lineRule="auto"/>
            </w:pPr>
            <w:r>
              <w:rPr>
                <w:sz w:val="18"/>
              </w:rPr>
              <w:t>026 i 02926</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Temeljem Izvješća o obavljenom popisu osnovnih sredstava (osim knjiga) sa stanjem na dan 31.12.2025. i Odluke ravnateljice, proveden je rashod računalnog programa u iznosu od 489,75 eura.</w:t>
      </w:r>
    </w:p>
    <w:p w:rsidR="00367D6F" w:rsidRDefault="00367D6F"/>
    <w:p w:rsidR="00367D6F" w:rsidRDefault="006D29F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0262</w:t>
            </w:r>
          </w:p>
        </w:tc>
        <w:tc>
          <w:tcPr>
            <w:tcW w:w="3180" w:type="dxa"/>
            <w:tcMar>
              <w:top w:w="0" w:type="dxa"/>
              <w:bottom w:w="0" w:type="dxa"/>
            </w:tcMar>
            <w:vAlign w:val="center"/>
          </w:tcPr>
          <w:p w:rsidR="00367D6F" w:rsidRDefault="006D29F0">
            <w:pPr>
              <w:keepNext/>
              <w:keepLines/>
              <w:spacing w:after="0" w:line="240" w:lineRule="auto"/>
            </w:pPr>
            <w:r>
              <w:rPr>
                <w:sz w:val="18"/>
              </w:rPr>
              <w:t>Ulaganja u računalne programe</w:t>
            </w:r>
          </w:p>
        </w:tc>
        <w:tc>
          <w:tcPr>
            <w:tcW w:w="700" w:type="dxa"/>
            <w:tcMar>
              <w:top w:w="0" w:type="dxa"/>
              <w:bottom w:w="0" w:type="dxa"/>
            </w:tcMar>
            <w:vAlign w:val="center"/>
          </w:tcPr>
          <w:p w:rsidR="00367D6F" w:rsidRDefault="006D29F0">
            <w:pPr>
              <w:keepNext/>
              <w:keepLines/>
              <w:spacing w:after="0" w:line="240" w:lineRule="auto"/>
            </w:pPr>
            <w:r>
              <w:rPr>
                <w:sz w:val="18"/>
              </w:rPr>
              <w:t>0262</w:t>
            </w:r>
          </w:p>
        </w:tc>
        <w:tc>
          <w:tcPr>
            <w:tcW w:w="1860" w:type="dxa"/>
            <w:tcMar>
              <w:top w:w="0" w:type="dxa"/>
              <w:bottom w:w="0" w:type="dxa"/>
            </w:tcMar>
            <w:vAlign w:val="center"/>
          </w:tcPr>
          <w:p w:rsidR="00367D6F" w:rsidRDefault="006D29F0">
            <w:pPr>
              <w:keepNext/>
              <w:keepLines/>
              <w:spacing w:after="0" w:line="240" w:lineRule="auto"/>
              <w:jc w:val="right"/>
            </w:pPr>
            <w:r>
              <w:rPr>
                <w:sz w:val="18"/>
              </w:rPr>
              <w:t>1.660,36</w:t>
            </w:r>
          </w:p>
        </w:tc>
        <w:tc>
          <w:tcPr>
            <w:tcW w:w="1860" w:type="dxa"/>
            <w:tcMar>
              <w:top w:w="0" w:type="dxa"/>
              <w:bottom w:w="0" w:type="dxa"/>
            </w:tcMar>
            <w:vAlign w:val="center"/>
          </w:tcPr>
          <w:p w:rsidR="00367D6F" w:rsidRDefault="006D29F0">
            <w:pPr>
              <w:keepNext/>
              <w:keepLines/>
              <w:spacing w:after="0" w:line="240" w:lineRule="auto"/>
              <w:jc w:val="right"/>
            </w:pPr>
            <w:r>
              <w:rPr>
                <w:sz w:val="18"/>
              </w:rPr>
              <w:t>1.170,61</w:t>
            </w:r>
          </w:p>
        </w:tc>
        <w:tc>
          <w:tcPr>
            <w:tcW w:w="700" w:type="dxa"/>
            <w:tcMar>
              <w:top w:w="0" w:type="dxa"/>
              <w:bottom w:w="0" w:type="dxa"/>
            </w:tcMar>
            <w:vAlign w:val="center"/>
          </w:tcPr>
          <w:p w:rsidR="00367D6F" w:rsidRDefault="006D29F0">
            <w:pPr>
              <w:keepNext/>
              <w:keepLines/>
              <w:spacing w:after="0" w:line="240" w:lineRule="auto"/>
              <w:jc w:val="right"/>
            </w:pPr>
            <w:r>
              <w:rPr>
                <w:sz w:val="18"/>
              </w:rPr>
              <w:t>70,5</w:t>
            </w:r>
          </w:p>
        </w:tc>
      </w:tr>
    </w:tbl>
    <w:p w:rsidR="00367D6F" w:rsidRDefault="00367D6F">
      <w:pPr>
        <w:spacing w:after="0"/>
      </w:pPr>
    </w:p>
    <w:p w:rsidR="00367D6F" w:rsidRDefault="006D29F0">
      <w:r>
        <w:t>Temeljem Izvješća o obavljenom popisu osnovnih sredstava (osim knjiga) sa stanjem na dan 31.12.2025. i Odluke ravnateljice, proveden je rashod računalnog programa u iznosu od 489,75 eura.</w:t>
      </w:r>
    </w:p>
    <w:p w:rsidR="00367D6F" w:rsidRDefault="00367D6F"/>
    <w:p w:rsidR="00367D6F" w:rsidRDefault="006D29F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02926</w:t>
            </w:r>
          </w:p>
        </w:tc>
        <w:tc>
          <w:tcPr>
            <w:tcW w:w="3180" w:type="dxa"/>
            <w:tcMar>
              <w:top w:w="0" w:type="dxa"/>
              <w:bottom w:w="0" w:type="dxa"/>
            </w:tcMar>
            <w:vAlign w:val="center"/>
          </w:tcPr>
          <w:p w:rsidR="00367D6F" w:rsidRDefault="006D29F0">
            <w:pPr>
              <w:keepNext/>
              <w:keepLines/>
              <w:spacing w:after="0" w:line="240" w:lineRule="auto"/>
            </w:pPr>
            <w:r>
              <w:rPr>
                <w:sz w:val="18"/>
              </w:rPr>
              <w:t>Ispravak vrijednosti nematerijalne proizvedene imovine</w:t>
            </w:r>
          </w:p>
        </w:tc>
        <w:tc>
          <w:tcPr>
            <w:tcW w:w="700" w:type="dxa"/>
            <w:tcMar>
              <w:top w:w="0" w:type="dxa"/>
              <w:bottom w:w="0" w:type="dxa"/>
            </w:tcMar>
            <w:vAlign w:val="center"/>
          </w:tcPr>
          <w:p w:rsidR="00367D6F" w:rsidRDefault="006D29F0">
            <w:pPr>
              <w:keepNext/>
              <w:keepLines/>
              <w:spacing w:after="0" w:line="240" w:lineRule="auto"/>
            </w:pPr>
            <w:r>
              <w:rPr>
                <w:sz w:val="18"/>
              </w:rPr>
              <w:t>02926</w:t>
            </w:r>
          </w:p>
        </w:tc>
        <w:tc>
          <w:tcPr>
            <w:tcW w:w="1860" w:type="dxa"/>
            <w:tcMar>
              <w:top w:w="0" w:type="dxa"/>
              <w:bottom w:w="0" w:type="dxa"/>
            </w:tcMar>
            <w:vAlign w:val="center"/>
          </w:tcPr>
          <w:p w:rsidR="00367D6F" w:rsidRDefault="006D29F0">
            <w:pPr>
              <w:keepNext/>
              <w:keepLines/>
              <w:spacing w:after="0" w:line="240" w:lineRule="auto"/>
              <w:jc w:val="right"/>
            </w:pPr>
            <w:r>
              <w:rPr>
                <w:sz w:val="18"/>
              </w:rPr>
              <w:t>1.660,36</w:t>
            </w:r>
          </w:p>
        </w:tc>
        <w:tc>
          <w:tcPr>
            <w:tcW w:w="1860" w:type="dxa"/>
            <w:tcMar>
              <w:top w:w="0" w:type="dxa"/>
              <w:bottom w:w="0" w:type="dxa"/>
            </w:tcMar>
            <w:vAlign w:val="center"/>
          </w:tcPr>
          <w:p w:rsidR="00367D6F" w:rsidRDefault="006D29F0">
            <w:pPr>
              <w:keepNext/>
              <w:keepLines/>
              <w:spacing w:after="0" w:line="240" w:lineRule="auto"/>
              <w:jc w:val="right"/>
            </w:pPr>
            <w:r>
              <w:rPr>
                <w:sz w:val="18"/>
              </w:rPr>
              <w:t>1.170,61</w:t>
            </w:r>
          </w:p>
        </w:tc>
        <w:tc>
          <w:tcPr>
            <w:tcW w:w="700" w:type="dxa"/>
            <w:tcMar>
              <w:top w:w="0" w:type="dxa"/>
              <w:bottom w:w="0" w:type="dxa"/>
            </w:tcMar>
            <w:vAlign w:val="center"/>
          </w:tcPr>
          <w:p w:rsidR="00367D6F" w:rsidRDefault="006D29F0">
            <w:pPr>
              <w:keepNext/>
              <w:keepLines/>
              <w:spacing w:after="0" w:line="240" w:lineRule="auto"/>
              <w:jc w:val="right"/>
            </w:pPr>
            <w:r>
              <w:rPr>
                <w:sz w:val="18"/>
              </w:rPr>
              <w:t>70,5</w:t>
            </w:r>
          </w:p>
        </w:tc>
      </w:tr>
    </w:tbl>
    <w:p w:rsidR="00367D6F" w:rsidRDefault="00367D6F">
      <w:pPr>
        <w:spacing w:after="0"/>
      </w:pPr>
    </w:p>
    <w:p w:rsidR="00367D6F" w:rsidRDefault="006D29F0">
      <w:r>
        <w:t>Temeljem Izvješća o obavljenom popisu osnovnih sredstava (osim knjiga) sa stanjem na dan 31.12.2025. i Odluke ravnateljice, proveden je rashod računalnog programa u iznosu od 489,75 eura.</w:t>
      </w:r>
    </w:p>
    <w:p w:rsidR="00367D6F" w:rsidRDefault="00367D6F"/>
    <w:p w:rsidR="00367D6F" w:rsidRDefault="006D29F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129</w:t>
            </w:r>
          </w:p>
        </w:tc>
        <w:tc>
          <w:tcPr>
            <w:tcW w:w="3180" w:type="dxa"/>
            <w:tcMar>
              <w:top w:w="0" w:type="dxa"/>
              <w:bottom w:w="0" w:type="dxa"/>
            </w:tcMar>
            <w:vAlign w:val="center"/>
          </w:tcPr>
          <w:p w:rsidR="00367D6F" w:rsidRDefault="006D29F0">
            <w:pPr>
              <w:keepNext/>
              <w:keepLines/>
              <w:spacing w:after="0" w:line="240" w:lineRule="auto"/>
            </w:pPr>
            <w:r>
              <w:rPr>
                <w:sz w:val="18"/>
              </w:rPr>
              <w:t>Ostala potraživanja</w:t>
            </w:r>
          </w:p>
        </w:tc>
        <w:tc>
          <w:tcPr>
            <w:tcW w:w="700" w:type="dxa"/>
            <w:tcMar>
              <w:top w:w="0" w:type="dxa"/>
              <w:bottom w:w="0" w:type="dxa"/>
            </w:tcMar>
            <w:vAlign w:val="center"/>
          </w:tcPr>
          <w:p w:rsidR="00367D6F" w:rsidRDefault="006D29F0">
            <w:pPr>
              <w:keepNext/>
              <w:keepLines/>
              <w:spacing w:after="0" w:line="240" w:lineRule="auto"/>
            </w:pPr>
            <w:r>
              <w:rPr>
                <w:sz w:val="18"/>
              </w:rPr>
              <w:t>129</w:t>
            </w:r>
          </w:p>
        </w:tc>
        <w:tc>
          <w:tcPr>
            <w:tcW w:w="1860" w:type="dxa"/>
            <w:tcMar>
              <w:top w:w="0" w:type="dxa"/>
              <w:bottom w:w="0" w:type="dxa"/>
            </w:tcMar>
            <w:vAlign w:val="center"/>
          </w:tcPr>
          <w:p w:rsidR="00367D6F" w:rsidRDefault="006D29F0">
            <w:pPr>
              <w:keepNext/>
              <w:keepLines/>
              <w:spacing w:after="0" w:line="240" w:lineRule="auto"/>
              <w:jc w:val="right"/>
            </w:pPr>
            <w:r>
              <w:rPr>
                <w:sz w:val="18"/>
              </w:rPr>
              <w:t>1.125,06</w:t>
            </w:r>
          </w:p>
        </w:tc>
        <w:tc>
          <w:tcPr>
            <w:tcW w:w="1860" w:type="dxa"/>
            <w:tcMar>
              <w:top w:w="0" w:type="dxa"/>
              <w:bottom w:w="0" w:type="dxa"/>
            </w:tcMar>
            <w:vAlign w:val="center"/>
          </w:tcPr>
          <w:p w:rsidR="00367D6F" w:rsidRDefault="006D29F0">
            <w:pPr>
              <w:keepNext/>
              <w:keepLines/>
              <w:spacing w:after="0" w:line="240" w:lineRule="auto"/>
              <w:jc w:val="right"/>
            </w:pPr>
            <w:r>
              <w:rPr>
                <w:sz w:val="18"/>
              </w:rPr>
              <w:t>2.372,87</w:t>
            </w:r>
          </w:p>
        </w:tc>
        <w:tc>
          <w:tcPr>
            <w:tcW w:w="700" w:type="dxa"/>
            <w:tcMar>
              <w:top w:w="0" w:type="dxa"/>
              <w:bottom w:w="0" w:type="dxa"/>
            </w:tcMar>
            <w:vAlign w:val="center"/>
          </w:tcPr>
          <w:p w:rsidR="00367D6F" w:rsidRDefault="006D29F0">
            <w:pPr>
              <w:keepNext/>
              <w:keepLines/>
              <w:spacing w:after="0" w:line="240" w:lineRule="auto"/>
              <w:jc w:val="right"/>
            </w:pPr>
            <w:r>
              <w:rPr>
                <w:sz w:val="18"/>
              </w:rPr>
              <w:t>210,9</w:t>
            </w:r>
          </w:p>
        </w:tc>
      </w:tr>
    </w:tbl>
    <w:p w:rsidR="00367D6F" w:rsidRDefault="00367D6F">
      <w:pPr>
        <w:spacing w:after="0"/>
      </w:pPr>
    </w:p>
    <w:p w:rsidR="00367D6F" w:rsidRDefault="006D29F0">
      <w:r>
        <w:t>Ostala potraživanja odnose se na naknade za bolovanje na teret HZZO-a za koje nije provedena kompenzacija. Iznosi naknade za bolovanje na teret HZZO-a u 2025. su veći u odnosu na 2024. godinu radi većeg broja bolovanja.</w:t>
      </w:r>
    </w:p>
    <w:p w:rsidR="00367D6F" w:rsidRDefault="00367D6F"/>
    <w:p w:rsidR="00367D6F" w:rsidRDefault="006D29F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16</w:t>
            </w:r>
          </w:p>
        </w:tc>
        <w:tc>
          <w:tcPr>
            <w:tcW w:w="3180" w:type="dxa"/>
            <w:tcMar>
              <w:top w:w="0" w:type="dxa"/>
              <w:bottom w:w="0" w:type="dxa"/>
            </w:tcMar>
            <w:vAlign w:val="center"/>
          </w:tcPr>
          <w:p w:rsidR="00367D6F" w:rsidRDefault="006D29F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367D6F" w:rsidRDefault="006D29F0">
            <w:pPr>
              <w:keepNext/>
              <w:keepLines/>
              <w:spacing w:after="0" w:line="240" w:lineRule="auto"/>
            </w:pPr>
            <w:r>
              <w:rPr>
                <w:sz w:val="18"/>
              </w:rPr>
              <w:t>16</w:t>
            </w:r>
          </w:p>
        </w:tc>
        <w:tc>
          <w:tcPr>
            <w:tcW w:w="1860" w:type="dxa"/>
            <w:tcMar>
              <w:top w:w="0" w:type="dxa"/>
              <w:bottom w:w="0" w:type="dxa"/>
            </w:tcMar>
            <w:vAlign w:val="center"/>
          </w:tcPr>
          <w:p w:rsidR="00367D6F" w:rsidRDefault="006D29F0">
            <w:pPr>
              <w:keepNext/>
              <w:keepLines/>
              <w:spacing w:after="0" w:line="240" w:lineRule="auto"/>
              <w:jc w:val="right"/>
            </w:pPr>
            <w:r>
              <w:rPr>
                <w:sz w:val="18"/>
              </w:rPr>
              <w:t>28.673,95</w:t>
            </w:r>
          </w:p>
        </w:tc>
        <w:tc>
          <w:tcPr>
            <w:tcW w:w="1860" w:type="dxa"/>
            <w:tcMar>
              <w:top w:w="0" w:type="dxa"/>
              <w:bottom w:w="0" w:type="dxa"/>
            </w:tcMar>
            <w:vAlign w:val="center"/>
          </w:tcPr>
          <w:p w:rsidR="00367D6F" w:rsidRDefault="006D29F0">
            <w:pPr>
              <w:keepNext/>
              <w:keepLines/>
              <w:spacing w:after="0" w:line="240" w:lineRule="auto"/>
              <w:jc w:val="right"/>
            </w:pPr>
            <w:r>
              <w:rPr>
                <w:sz w:val="18"/>
              </w:rPr>
              <w:t>149.267,20</w:t>
            </w:r>
          </w:p>
        </w:tc>
        <w:tc>
          <w:tcPr>
            <w:tcW w:w="700" w:type="dxa"/>
            <w:tcMar>
              <w:top w:w="0" w:type="dxa"/>
              <w:bottom w:w="0" w:type="dxa"/>
            </w:tcMar>
            <w:vAlign w:val="center"/>
          </w:tcPr>
          <w:p w:rsidR="00367D6F" w:rsidRDefault="006D29F0">
            <w:pPr>
              <w:keepNext/>
              <w:keepLines/>
              <w:spacing w:after="0" w:line="240" w:lineRule="auto"/>
              <w:jc w:val="right"/>
            </w:pPr>
            <w:r>
              <w:rPr>
                <w:sz w:val="18"/>
              </w:rPr>
              <w:t>520,6</w:t>
            </w:r>
          </w:p>
        </w:tc>
      </w:tr>
    </w:tbl>
    <w:p w:rsidR="00367D6F" w:rsidRDefault="00367D6F">
      <w:pPr>
        <w:spacing w:after="0"/>
      </w:pPr>
    </w:p>
    <w:p w:rsidR="00367D6F" w:rsidRDefault="006D29F0">
      <w:r>
        <w:t>Potraživanja za prihode poslovanja veća su u odnosu na 2024. godinu budući da se od 1. siječnja 2025. godine, temeljem Izmjena i dopuna Pravilnika o proračunskom računovodstvu, u bilanci evidentiraju i potraživanja i obračunati prihodi za pomoći iz državnog proračuna. Radi se o obračunatim prihodima za plaće, prijevoz na posao, naknadi zbog nezapošljavanja osoba s invaliditetom i materijalnim pravima za prosinac 2025. te obračunatom prihodu za nabavu knjige "Herojski Vukovar".</w:t>
      </w:r>
    </w:p>
    <w:p w:rsidR="00367D6F" w:rsidRDefault="00367D6F"/>
    <w:p w:rsidR="00367D6F" w:rsidRDefault="006D29F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163</w:t>
            </w:r>
          </w:p>
        </w:tc>
        <w:tc>
          <w:tcPr>
            <w:tcW w:w="3180" w:type="dxa"/>
            <w:tcMar>
              <w:top w:w="0" w:type="dxa"/>
              <w:bottom w:w="0" w:type="dxa"/>
            </w:tcMar>
            <w:vAlign w:val="center"/>
          </w:tcPr>
          <w:p w:rsidR="00367D6F" w:rsidRDefault="006D29F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rsidR="00367D6F" w:rsidRDefault="006D29F0">
            <w:pPr>
              <w:keepNext/>
              <w:keepLines/>
              <w:spacing w:after="0" w:line="240" w:lineRule="auto"/>
            </w:pPr>
            <w:r>
              <w:rPr>
                <w:sz w:val="18"/>
              </w:rPr>
              <w:t>163</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96.029,21</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Potraživanja za prihode poslovanja veća su u odnosu na 2024. godinu budući da se od 1. siječnja 2025. godine, temeljem Izmjena i dopuna Pravilnika o proračunskom računovodstvu, evidentiraju i potraživanja i obračunati prihodi za pomoći iz državnog proračuna. Radi se o obračunatim prihodima za plaće, prijevoz na posao, naknadi zbog nezapošljavanja osoba s invaliditetom i materijalnim pravima za prosinac 2025. te obračunatom prihodu za nabavu knjige "Herojski Vukovar".</w:t>
      </w:r>
    </w:p>
    <w:p w:rsidR="00367D6F" w:rsidRDefault="00367D6F"/>
    <w:p w:rsidR="00367D6F" w:rsidRDefault="006D29F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1636</w:t>
            </w:r>
          </w:p>
        </w:tc>
        <w:tc>
          <w:tcPr>
            <w:tcW w:w="3180" w:type="dxa"/>
            <w:tcMar>
              <w:top w:w="0" w:type="dxa"/>
              <w:bottom w:w="0" w:type="dxa"/>
            </w:tcMar>
            <w:vAlign w:val="center"/>
          </w:tcPr>
          <w:p w:rsidR="00367D6F" w:rsidRDefault="006D29F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367D6F" w:rsidRDefault="006D29F0">
            <w:pPr>
              <w:keepNext/>
              <w:keepLines/>
              <w:spacing w:after="0" w:line="240" w:lineRule="auto"/>
            </w:pPr>
            <w:r>
              <w:rPr>
                <w:sz w:val="18"/>
              </w:rPr>
              <w:t>1636</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96.029,21</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Potraživanja za prihode poslovanja veća su u odnosu na 2024. godinu budući da se od 1. siječnja 2025. godine, temeljem Izmjena i dopuna Pravilnika o proračunskom računovodstvu, evidentiraju i potraživanja i obračunati prihodi za pomoći iz državnog proračuna. Radi se o obračunatim prihodima za plaće, prijevoz na posao, naknadi zbog nezapošljavanja osoba s invaliditetom i materijalnim pravima za prosinac 2025. te obračunatom prihodu za nabavu knjige "Herojski Vukovar".</w:t>
      </w:r>
    </w:p>
    <w:p w:rsidR="00367D6F" w:rsidRDefault="00367D6F"/>
    <w:p w:rsidR="00367D6F" w:rsidRDefault="006D29F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167</w:t>
            </w:r>
          </w:p>
        </w:tc>
        <w:tc>
          <w:tcPr>
            <w:tcW w:w="3180" w:type="dxa"/>
            <w:tcMar>
              <w:top w:w="0" w:type="dxa"/>
              <w:bottom w:w="0" w:type="dxa"/>
            </w:tcMar>
            <w:vAlign w:val="center"/>
          </w:tcPr>
          <w:p w:rsidR="00367D6F" w:rsidRDefault="006D29F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367D6F" w:rsidRDefault="006D29F0">
            <w:pPr>
              <w:keepNext/>
              <w:keepLines/>
              <w:spacing w:after="0" w:line="240" w:lineRule="auto"/>
            </w:pPr>
            <w:r>
              <w:rPr>
                <w:sz w:val="18"/>
              </w:rPr>
              <w:t>167</w:t>
            </w:r>
          </w:p>
        </w:tc>
        <w:tc>
          <w:tcPr>
            <w:tcW w:w="1860" w:type="dxa"/>
            <w:tcMar>
              <w:top w:w="0" w:type="dxa"/>
              <w:bottom w:w="0" w:type="dxa"/>
            </w:tcMar>
            <w:vAlign w:val="center"/>
          </w:tcPr>
          <w:p w:rsidR="00367D6F" w:rsidRDefault="006D29F0">
            <w:pPr>
              <w:keepNext/>
              <w:keepLines/>
              <w:spacing w:after="0" w:line="240" w:lineRule="auto"/>
              <w:jc w:val="right"/>
            </w:pPr>
            <w:r>
              <w:rPr>
                <w:sz w:val="18"/>
              </w:rPr>
              <w:t>19.907,77</w:t>
            </w:r>
          </w:p>
        </w:tc>
        <w:tc>
          <w:tcPr>
            <w:tcW w:w="1860" w:type="dxa"/>
            <w:tcMar>
              <w:top w:w="0" w:type="dxa"/>
              <w:bottom w:w="0" w:type="dxa"/>
            </w:tcMar>
            <w:vAlign w:val="center"/>
          </w:tcPr>
          <w:p w:rsidR="00367D6F" w:rsidRDefault="006D29F0">
            <w:pPr>
              <w:keepNext/>
              <w:keepLines/>
              <w:spacing w:after="0" w:line="240" w:lineRule="auto"/>
              <w:jc w:val="right"/>
            </w:pPr>
            <w:r>
              <w:rPr>
                <w:sz w:val="18"/>
              </w:rPr>
              <w:t>44.570,74</w:t>
            </w:r>
          </w:p>
        </w:tc>
        <w:tc>
          <w:tcPr>
            <w:tcW w:w="700" w:type="dxa"/>
            <w:tcMar>
              <w:top w:w="0" w:type="dxa"/>
              <w:bottom w:w="0" w:type="dxa"/>
            </w:tcMar>
            <w:vAlign w:val="center"/>
          </w:tcPr>
          <w:p w:rsidR="00367D6F" w:rsidRDefault="006D29F0">
            <w:pPr>
              <w:keepNext/>
              <w:keepLines/>
              <w:spacing w:after="0" w:line="240" w:lineRule="auto"/>
              <w:jc w:val="right"/>
            </w:pPr>
            <w:r>
              <w:rPr>
                <w:sz w:val="18"/>
              </w:rPr>
              <w:t>223,9</w:t>
            </w:r>
          </w:p>
        </w:tc>
      </w:tr>
    </w:tbl>
    <w:p w:rsidR="00367D6F" w:rsidRDefault="00367D6F">
      <w:pPr>
        <w:spacing w:after="0"/>
      </w:pPr>
    </w:p>
    <w:p w:rsidR="00367D6F" w:rsidRDefault="006D29F0">
      <w:r>
        <w:t>Potraživanja za prihode iz proračuna su veća od ostvarenih 2024. godine radi ostvarenih većih vlastitih prihoda.</w:t>
      </w:r>
    </w:p>
    <w:p w:rsidR="00367D6F" w:rsidRDefault="00367D6F"/>
    <w:p w:rsidR="00367D6F" w:rsidRDefault="006D29F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231</w:t>
            </w:r>
          </w:p>
        </w:tc>
        <w:tc>
          <w:tcPr>
            <w:tcW w:w="3180" w:type="dxa"/>
            <w:tcMar>
              <w:top w:w="0" w:type="dxa"/>
              <w:bottom w:w="0" w:type="dxa"/>
            </w:tcMar>
            <w:vAlign w:val="center"/>
          </w:tcPr>
          <w:p w:rsidR="00367D6F" w:rsidRDefault="006D29F0">
            <w:pPr>
              <w:keepNext/>
              <w:keepLines/>
              <w:spacing w:after="0" w:line="240" w:lineRule="auto"/>
            </w:pPr>
            <w:r>
              <w:rPr>
                <w:sz w:val="18"/>
              </w:rPr>
              <w:t>Obveze za zaposlene</w:t>
            </w:r>
          </w:p>
        </w:tc>
        <w:tc>
          <w:tcPr>
            <w:tcW w:w="700" w:type="dxa"/>
            <w:tcMar>
              <w:top w:w="0" w:type="dxa"/>
              <w:bottom w:w="0" w:type="dxa"/>
            </w:tcMar>
            <w:vAlign w:val="center"/>
          </w:tcPr>
          <w:p w:rsidR="00367D6F" w:rsidRDefault="006D29F0">
            <w:pPr>
              <w:keepNext/>
              <w:keepLines/>
              <w:spacing w:after="0" w:line="240" w:lineRule="auto"/>
            </w:pPr>
            <w:r>
              <w:rPr>
                <w:sz w:val="18"/>
              </w:rPr>
              <w:t>231</w:t>
            </w:r>
          </w:p>
        </w:tc>
        <w:tc>
          <w:tcPr>
            <w:tcW w:w="1860" w:type="dxa"/>
            <w:tcMar>
              <w:top w:w="0" w:type="dxa"/>
              <w:bottom w:w="0" w:type="dxa"/>
            </w:tcMar>
            <w:vAlign w:val="center"/>
          </w:tcPr>
          <w:p w:rsidR="00367D6F" w:rsidRDefault="006D29F0">
            <w:pPr>
              <w:keepNext/>
              <w:keepLines/>
              <w:spacing w:after="0" w:line="240" w:lineRule="auto"/>
              <w:jc w:val="right"/>
            </w:pPr>
            <w:r>
              <w:rPr>
                <w:sz w:val="18"/>
              </w:rPr>
              <w:t>85.099,32</w:t>
            </w:r>
          </w:p>
        </w:tc>
        <w:tc>
          <w:tcPr>
            <w:tcW w:w="1860" w:type="dxa"/>
            <w:tcMar>
              <w:top w:w="0" w:type="dxa"/>
              <w:bottom w:w="0" w:type="dxa"/>
            </w:tcMar>
            <w:vAlign w:val="center"/>
          </w:tcPr>
          <w:p w:rsidR="00367D6F" w:rsidRDefault="006D29F0">
            <w:pPr>
              <w:keepNext/>
              <w:keepLines/>
              <w:spacing w:after="0" w:line="240" w:lineRule="auto"/>
              <w:jc w:val="right"/>
            </w:pPr>
            <w:r>
              <w:rPr>
                <w:sz w:val="18"/>
              </w:rPr>
              <w:t>102.289,84</w:t>
            </w:r>
          </w:p>
        </w:tc>
        <w:tc>
          <w:tcPr>
            <w:tcW w:w="700" w:type="dxa"/>
            <w:tcMar>
              <w:top w:w="0" w:type="dxa"/>
              <w:bottom w:w="0" w:type="dxa"/>
            </w:tcMar>
            <w:vAlign w:val="center"/>
          </w:tcPr>
          <w:p w:rsidR="00367D6F" w:rsidRDefault="006D29F0">
            <w:pPr>
              <w:keepNext/>
              <w:keepLines/>
              <w:spacing w:after="0" w:line="240" w:lineRule="auto"/>
              <w:jc w:val="right"/>
            </w:pPr>
            <w:r>
              <w:rPr>
                <w:sz w:val="18"/>
              </w:rPr>
              <w:t>120,2</w:t>
            </w:r>
          </w:p>
        </w:tc>
      </w:tr>
    </w:tbl>
    <w:p w:rsidR="00367D6F" w:rsidRDefault="00367D6F">
      <w:pPr>
        <w:spacing w:after="0"/>
      </w:pPr>
    </w:p>
    <w:p w:rsidR="00367D6F" w:rsidRDefault="006D29F0">
      <w:r>
        <w:t xml:space="preserve">Obveze za rashode za zaposlene veće su radi povećanih rashoda za plaće uslijed povećanih obračunskih koeficijenata i osnovice za obračun plaće. Također, u projektu </w:t>
      </w:r>
      <w:proofErr w:type="spellStart"/>
      <w:r>
        <w:t>Rinkluzija</w:t>
      </w:r>
      <w:proofErr w:type="spellEnd"/>
      <w:r>
        <w:t xml:space="preserve"> 8 zaposlene su četiri pomoćnice / pomoćnika u nastavi, a povećani su i rashodi za zaposlene u okviru programa Moja Rijeka, Građanski odgoj i obrazovanje i Zdravstveni odgoj što je utjecalo na povećanje obveza za rashode za zaposlene.</w:t>
      </w:r>
    </w:p>
    <w:p w:rsidR="00367D6F" w:rsidRDefault="00367D6F"/>
    <w:p w:rsidR="00367D6F" w:rsidRDefault="006D29F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232</w:t>
            </w:r>
          </w:p>
        </w:tc>
        <w:tc>
          <w:tcPr>
            <w:tcW w:w="3180" w:type="dxa"/>
            <w:tcMar>
              <w:top w:w="0" w:type="dxa"/>
              <w:bottom w:w="0" w:type="dxa"/>
            </w:tcMar>
            <w:vAlign w:val="center"/>
          </w:tcPr>
          <w:p w:rsidR="00367D6F" w:rsidRDefault="006D29F0">
            <w:pPr>
              <w:keepNext/>
              <w:keepLines/>
              <w:spacing w:after="0" w:line="240" w:lineRule="auto"/>
            </w:pPr>
            <w:r>
              <w:rPr>
                <w:sz w:val="18"/>
              </w:rPr>
              <w:t>Obveze za materijalne rashode</w:t>
            </w:r>
          </w:p>
        </w:tc>
        <w:tc>
          <w:tcPr>
            <w:tcW w:w="700" w:type="dxa"/>
            <w:tcMar>
              <w:top w:w="0" w:type="dxa"/>
              <w:bottom w:w="0" w:type="dxa"/>
            </w:tcMar>
            <w:vAlign w:val="center"/>
          </w:tcPr>
          <w:p w:rsidR="00367D6F" w:rsidRDefault="006D29F0">
            <w:pPr>
              <w:keepNext/>
              <w:keepLines/>
              <w:spacing w:after="0" w:line="240" w:lineRule="auto"/>
            </w:pPr>
            <w:r>
              <w:rPr>
                <w:sz w:val="18"/>
              </w:rPr>
              <w:t>232</w:t>
            </w:r>
          </w:p>
        </w:tc>
        <w:tc>
          <w:tcPr>
            <w:tcW w:w="1860" w:type="dxa"/>
            <w:tcMar>
              <w:top w:w="0" w:type="dxa"/>
              <w:bottom w:w="0" w:type="dxa"/>
            </w:tcMar>
            <w:vAlign w:val="center"/>
          </w:tcPr>
          <w:p w:rsidR="00367D6F" w:rsidRDefault="006D29F0">
            <w:pPr>
              <w:keepNext/>
              <w:keepLines/>
              <w:spacing w:after="0" w:line="240" w:lineRule="auto"/>
              <w:jc w:val="right"/>
            </w:pPr>
            <w:r>
              <w:rPr>
                <w:sz w:val="18"/>
              </w:rPr>
              <w:t>24.562,98</w:t>
            </w:r>
          </w:p>
        </w:tc>
        <w:tc>
          <w:tcPr>
            <w:tcW w:w="1860" w:type="dxa"/>
            <w:tcMar>
              <w:top w:w="0" w:type="dxa"/>
              <w:bottom w:w="0" w:type="dxa"/>
            </w:tcMar>
            <w:vAlign w:val="center"/>
          </w:tcPr>
          <w:p w:rsidR="00367D6F" w:rsidRDefault="006D29F0">
            <w:pPr>
              <w:keepNext/>
              <w:keepLines/>
              <w:spacing w:after="0" w:line="240" w:lineRule="auto"/>
              <w:jc w:val="right"/>
            </w:pPr>
            <w:r>
              <w:rPr>
                <w:sz w:val="18"/>
              </w:rPr>
              <w:t>20.646,68</w:t>
            </w:r>
          </w:p>
        </w:tc>
        <w:tc>
          <w:tcPr>
            <w:tcW w:w="700" w:type="dxa"/>
            <w:tcMar>
              <w:top w:w="0" w:type="dxa"/>
              <w:bottom w:w="0" w:type="dxa"/>
            </w:tcMar>
            <w:vAlign w:val="center"/>
          </w:tcPr>
          <w:p w:rsidR="00367D6F" w:rsidRDefault="006D29F0">
            <w:pPr>
              <w:keepNext/>
              <w:keepLines/>
              <w:spacing w:after="0" w:line="240" w:lineRule="auto"/>
              <w:jc w:val="right"/>
            </w:pPr>
            <w:r>
              <w:rPr>
                <w:sz w:val="18"/>
              </w:rPr>
              <w:t>84,1</w:t>
            </w:r>
          </w:p>
        </w:tc>
      </w:tr>
    </w:tbl>
    <w:p w:rsidR="00367D6F" w:rsidRDefault="00367D6F">
      <w:pPr>
        <w:spacing w:after="0"/>
      </w:pPr>
    </w:p>
    <w:p w:rsidR="00367D6F" w:rsidRDefault="006D29F0">
      <w:r>
        <w:t>Obveze za materijalne rashode manje su od ostvarenih u 2024. godini radi manjih rashoda za uredski materijal i ostalih materijalne rashode. Oni su bili manji u odnosu na ostvarene u 2024. godini, budući da je veća količina uredskog materijala i materijala za higijenske potrebe i njegu, koji se koristio u 2025. godini nabavljena krajem 2024. godine. Također, nabava ostalog materijala za potrebe redovnog poslovanja je bila manja u 2025. godini u odnosu na 2024. godinu, sukladno potrebama poslovanja.</w:t>
      </w:r>
    </w:p>
    <w:p w:rsidR="00367D6F" w:rsidRDefault="00367D6F"/>
    <w:p w:rsidR="00367D6F" w:rsidRDefault="006D29F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2343</w:t>
            </w:r>
          </w:p>
        </w:tc>
        <w:tc>
          <w:tcPr>
            <w:tcW w:w="3180" w:type="dxa"/>
            <w:tcMar>
              <w:top w:w="0" w:type="dxa"/>
              <w:bottom w:w="0" w:type="dxa"/>
            </w:tcMar>
            <w:vAlign w:val="center"/>
          </w:tcPr>
          <w:p w:rsidR="00367D6F" w:rsidRDefault="006D29F0">
            <w:pPr>
              <w:keepNext/>
              <w:keepLines/>
              <w:spacing w:after="0" w:line="240" w:lineRule="auto"/>
            </w:pPr>
            <w:r>
              <w:rPr>
                <w:sz w:val="18"/>
              </w:rPr>
              <w:t>Obveze za ostale financijske rashode</w:t>
            </w:r>
          </w:p>
        </w:tc>
        <w:tc>
          <w:tcPr>
            <w:tcW w:w="700" w:type="dxa"/>
            <w:tcMar>
              <w:top w:w="0" w:type="dxa"/>
              <w:bottom w:w="0" w:type="dxa"/>
            </w:tcMar>
            <w:vAlign w:val="center"/>
          </w:tcPr>
          <w:p w:rsidR="00367D6F" w:rsidRDefault="006D29F0">
            <w:pPr>
              <w:keepNext/>
              <w:keepLines/>
              <w:spacing w:after="0" w:line="240" w:lineRule="auto"/>
            </w:pPr>
            <w:r>
              <w:rPr>
                <w:sz w:val="18"/>
              </w:rPr>
              <w:t>2343</w:t>
            </w:r>
          </w:p>
        </w:tc>
        <w:tc>
          <w:tcPr>
            <w:tcW w:w="1860" w:type="dxa"/>
            <w:tcMar>
              <w:top w:w="0" w:type="dxa"/>
              <w:bottom w:w="0" w:type="dxa"/>
            </w:tcMar>
            <w:vAlign w:val="center"/>
          </w:tcPr>
          <w:p w:rsidR="00367D6F" w:rsidRDefault="006D29F0">
            <w:pPr>
              <w:keepNext/>
              <w:keepLines/>
              <w:spacing w:after="0" w:line="240" w:lineRule="auto"/>
              <w:jc w:val="right"/>
            </w:pPr>
            <w:r>
              <w:rPr>
                <w:sz w:val="18"/>
              </w:rPr>
              <w:t>9,78</w:t>
            </w:r>
          </w:p>
        </w:tc>
        <w:tc>
          <w:tcPr>
            <w:tcW w:w="1860" w:type="dxa"/>
            <w:tcMar>
              <w:top w:w="0" w:type="dxa"/>
              <w:bottom w:w="0" w:type="dxa"/>
            </w:tcMar>
            <w:vAlign w:val="center"/>
          </w:tcPr>
          <w:p w:rsidR="00367D6F" w:rsidRDefault="006D29F0">
            <w:pPr>
              <w:keepNext/>
              <w:keepLines/>
              <w:spacing w:after="0" w:line="240" w:lineRule="auto"/>
              <w:jc w:val="right"/>
            </w:pPr>
            <w:r>
              <w:rPr>
                <w:sz w:val="18"/>
              </w:rPr>
              <w:t>2,75</w:t>
            </w:r>
          </w:p>
        </w:tc>
        <w:tc>
          <w:tcPr>
            <w:tcW w:w="700" w:type="dxa"/>
            <w:tcMar>
              <w:top w:w="0" w:type="dxa"/>
              <w:bottom w:w="0" w:type="dxa"/>
            </w:tcMar>
            <w:vAlign w:val="center"/>
          </w:tcPr>
          <w:p w:rsidR="00367D6F" w:rsidRDefault="006D29F0">
            <w:pPr>
              <w:keepNext/>
              <w:keepLines/>
              <w:spacing w:after="0" w:line="240" w:lineRule="auto"/>
              <w:jc w:val="right"/>
            </w:pPr>
            <w:r>
              <w:rPr>
                <w:sz w:val="18"/>
              </w:rPr>
              <w:t>28,1</w:t>
            </w:r>
          </w:p>
        </w:tc>
      </w:tr>
    </w:tbl>
    <w:p w:rsidR="00367D6F" w:rsidRDefault="00367D6F">
      <w:pPr>
        <w:spacing w:after="0"/>
      </w:pPr>
    </w:p>
    <w:p w:rsidR="00367D6F" w:rsidRDefault="006D29F0">
      <w:r>
        <w:t>Obveze za ostale financijske rashode manje su od ostvarenih u 2024. godini budući da se odnose samo na obveze za zatezne kamate. Obveze za usluge platnog prometa za mjesec prosinac 2025. godine su podmirene u prosincu prilikom podnošenja zahtjeva za zatvaranje žiro-računa Škole.</w:t>
      </w:r>
    </w:p>
    <w:p w:rsidR="00367D6F" w:rsidRDefault="00367D6F"/>
    <w:p w:rsidR="00367D6F" w:rsidRDefault="006D29F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239</w:t>
            </w:r>
          </w:p>
        </w:tc>
        <w:tc>
          <w:tcPr>
            <w:tcW w:w="3180" w:type="dxa"/>
            <w:tcMar>
              <w:top w:w="0" w:type="dxa"/>
              <w:bottom w:w="0" w:type="dxa"/>
            </w:tcMar>
            <w:vAlign w:val="center"/>
          </w:tcPr>
          <w:p w:rsidR="00367D6F" w:rsidRDefault="006D29F0">
            <w:pPr>
              <w:keepNext/>
              <w:keepLines/>
              <w:spacing w:after="0" w:line="240" w:lineRule="auto"/>
            </w:pPr>
            <w:r>
              <w:rPr>
                <w:sz w:val="18"/>
              </w:rPr>
              <w:t>Ostale tekuće obveze</w:t>
            </w:r>
          </w:p>
        </w:tc>
        <w:tc>
          <w:tcPr>
            <w:tcW w:w="700" w:type="dxa"/>
            <w:tcMar>
              <w:top w:w="0" w:type="dxa"/>
              <w:bottom w:w="0" w:type="dxa"/>
            </w:tcMar>
            <w:vAlign w:val="center"/>
          </w:tcPr>
          <w:p w:rsidR="00367D6F" w:rsidRDefault="006D29F0">
            <w:pPr>
              <w:keepNext/>
              <w:keepLines/>
              <w:spacing w:after="0" w:line="240" w:lineRule="auto"/>
            </w:pPr>
            <w:r>
              <w:rPr>
                <w:sz w:val="18"/>
              </w:rPr>
              <w:t>239</w:t>
            </w:r>
          </w:p>
        </w:tc>
        <w:tc>
          <w:tcPr>
            <w:tcW w:w="1860" w:type="dxa"/>
            <w:tcMar>
              <w:top w:w="0" w:type="dxa"/>
              <w:bottom w:w="0" w:type="dxa"/>
            </w:tcMar>
            <w:vAlign w:val="center"/>
          </w:tcPr>
          <w:p w:rsidR="00367D6F" w:rsidRDefault="006D29F0">
            <w:pPr>
              <w:keepNext/>
              <w:keepLines/>
              <w:spacing w:after="0" w:line="240" w:lineRule="auto"/>
              <w:jc w:val="right"/>
            </w:pPr>
            <w:r>
              <w:rPr>
                <w:sz w:val="18"/>
              </w:rPr>
              <w:t>7.502,39</w:t>
            </w:r>
          </w:p>
        </w:tc>
        <w:tc>
          <w:tcPr>
            <w:tcW w:w="1860" w:type="dxa"/>
            <w:tcMar>
              <w:top w:w="0" w:type="dxa"/>
              <w:bottom w:w="0" w:type="dxa"/>
            </w:tcMar>
            <w:vAlign w:val="center"/>
          </w:tcPr>
          <w:p w:rsidR="00367D6F" w:rsidRDefault="006D29F0">
            <w:pPr>
              <w:keepNext/>
              <w:keepLines/>
              <w:spacing w:after="0" w:line="240" w:lineRule="auto"/>
              <w:jc w:val="right"/>
            </w:pPr>
            <w:r>
              <w:rPr>
                <w:sz w:val="18"/>
              </w:rPr>
              <w:t>45,48</w:t>
            </w:r>
          </w:p>
        </w:tc>
        <w:tc>
          <w:tcPr>
            <w:tcW w:w="700" w:type="dxa"/>
            <w:tcMar>
              <w:top w:w="0" w:type="dxa"/>
              <w:bottom w:w="0" w:type="dxa"/>
            </w:tcMar>
            <w:vAlign w:val="center"/>
          </w:tcPr>
          <w:p w:rsidR="00367D6F" w:rsidRDefault="006D29F0">
            <w:pPr>
              <w:keepNext/>
              <w:keepLines/>
              <w:spacing w:after="0" w:line="240" w:lineRule="auto"/>
              <w:jc w:val="right"/>
            </w:pPr>
            <w:r>
              <w:rPr>
                <w:sz w:val="18"/>
              </w:rPr>
              <w:t>0,6</w:t>
            </w:r>
          </w:p>
        </w:tc>
      </w:tr>
    </w:tbl>
    <w:p w:rsidR="00367D6F" w:rsidRDefault="00367D6F">
      <w:pPr>
        <w:spacing w:after="0"/>
      </w:pPr>
    </w:p>
    <w:p w:rsidR="00367D6F" w:rsidRDefault="006D29F0">
      <w:r>
        <w:t>Na ovoj podskupini su u 2024. godini bile knjižene obveze za bolovanje na teret HZZO-a, koje se od 1. siječnja 2025. godine knjiže na skupini 276 te obveze za povrat u gradski proračun za plaće pomoćnika u nastavi (</w:t>
      </w:r>
      <w:proofErr w:type="spellStart"/>
      <w:r>
        <w:t>Rinkluzija</w:t>
      </w:r>
      <w:proofErr w:type="spellEnd"/>
      <w:r>
        <w:t xml:space="preserve"> 8). U 2025. godini u okviru ove podskupine nalazi se obveza za povrat uplate pologa.</w:t>
      </w:r>
    </w:p>
    <w:p w:rsidR="00367D6F" w:rsidRDefault="00367D6F"/>
    <w:p w:rsidR="00367D6F" w:rsidRDefault="006D29F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24</w:t>
            </w:r>
          </w:p>
        </w:tc>
        <w:tc>
          <w:tcPr>
            <w:tcW w:w="3180" w:type="dxa"/>
            <w:tcMar>
              <w:top w:w="0" w:type="dxa"/>
              <w:bottom w:w="0" w:type="dxa"/>
            </w:tcMar>
            <w:vAlign w:val="center"/>
          </w:tcPr>
          <w:p w:rsidR="00367D6F" w:rsidRDefault="006D29F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rsidR="00367D6F" w:rsidRDefault="006D29F0">
            <w:pPr>
              <w:keepNext/>
              <w:keepLines/>
              <w:spacing w:after="0" w:line="240" w:lineRule="auto"/>
            </w:pPr>
            <w:r>
              <w:rPr>
                <w:sz w:val="18"/>
              </w:rPr>
              <w:t>24</w:t>
            </w:r>
          </w:p>
        </w:tc>
        <w:tc>
          <w:tcPr>
            <w:tcW w:w="1860" w:type="dxa"/>
            <w:tcMar>
              <w:top w:w="0" w:type="dxa"/>
              <w:bottom w:w="0" w:type="dxa"/>
            </w:tcMar>
            <w:vAlign w:val="center"/>
          </w:tcPr>
          <w:p w:rsidR="00367D6F" w:rsidRDefault="006D29F0">
            <w:pPr>
              <w:keepNext/>
              <w:keepLines/>
              <w:spacing w:after="0" w:line="240" w:lineRule="auto"/>
              <w:jc w:val="right"/>
            </w:pPr>
            <w:r>
              <w:rPr>
                <w:sz w:val="18"/>
              </w:rPr>
              <w:t>1.028,87</w:t>
            </w:r>
          </w:p>
        </w:tc>
        <w:tc>
          <w:tcPr>
            <w:tcW w:w="1860" w:type="dxa"/>
            <w:tcMar>
              <w:top w:w="0" w:type="dxa"/>
              <w:bottom w:w="0" w:type="dxa"/>
            </w:tcMar>
            <w:vAlign w:val="center"/>
          </w:tcPr>
          <w:p w:rsidR="00367D6F" w:rsidRDefault="006D29F0">
            <w:pPr>
              <w:keepNext/>
              <w:keepLines/>
              <w:spacing w:after="0" w:line="240" w:lineRule="auto"/>
              <w:jc w:val="right"/>
            </w:pPr>
            <w:r>
              <w:rPr>
                <w:sz w:val="18"/>
              </w:rPr>
              <w:t>323,35</w:t>
            </w:r>
          </w:p>
        </w:tc>
        <w:tc>
          <w:tcPr>
            <w:tcW w:w="700" w:type="dxa"/>
            <w:tcMar>
              <w:top w:w="0" w:type="dxa"/>
              <w:bottom w:w="0" w:type="dxa"/>
            </w:tcMar>
            <w:vAlign w:val="center"/>
          </w:tcPr>
          <w:p w:rsidR="00367D6F" w:rsidRDefault="006D29F0">
            <w:pPr>
              <w:keepNext/>
              <w:keepLines/>
              <w:spacing w:after="0" w:line="240" w:lineRule="auto"/>
              <w:jc w:val="right"/>
            </w:pPr>
            <w:r>
              <w:rPr>
                <w:sz w:val="18"/>
              </w:rPr>
              <w:t>31,4</w:t>
            </w:r>
          </w:p>
        </w:tc>
      </w:tr>
    </w:tbl>
    <w:p w:rsidR="00367D6F" w:rsidRDefault="00367D6F">
      <w:pPr>
        <w:spacing w:after="0"/>
      </w:pPr>
    </w:p>
    <w:p w:rsidR="00367D6F" w:rsidRDefault="006D29F0">
      <w:r>
        <w:t>U okviru ove skupine nalazi se samo otvorena obveza za nabavu knjiga za školsku knjižnicu za račun zaprimljen krajem godine, dok su sve ostale obveze za nabavu dugotrajne imovine podmirene do kraja 2025. godine.</w:t>
      </w:r>
    </w:p>
    <w:p w:rsidR="00367D6F" w:rsidRDefault="00367D6F"/>
    <w:p w:rsidR="00367D6F" w:rsidRDefault="006D29F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242</w:t>
            </w:r>
          </w:p>
        </w:tc>
        <w:tc>
          <w:tcPr>
            <w:tcW w:w="3180" w:type="dxa"/>
            <w:tcMar>
              <w:top w:w="0" w:type="dxa"/>
              <w:bottom w:w="0" w:type="dxa"/>
            </w:tcMar>
            <w:vAlign w:val="center"/>
          </w:tcPr>
          <w:p w:rsidR="00367D6F" w:rsidRDefault="006D29F0">
            <w:pPr>
              <w:keepNext/>
              <w:keepLines/>
              <w:spacing w:after="0" w:line="240" w:lineRule="auto"/>
            </w:pPr>
            <w:r>
              <w:rPr>
                <w:sz w:val="18"/>
              </w:rPr>
              <w:t>Obveze za nabavu proizvedene dugotrajne imovine</w:t>
            </w:r>
          </w:p>
        </w:tc>
        <w:tc>
          <w:tcPr>
            <w:tcW w:w="700" w:type="dxa"/>
            <w:tcMar>
              <w:top w:w="0" w:type="dxa"/>
              <w:bottom w:w="0" w:type="dxa"/>
            </w:tcMar>
            <w:vAlign w:val="center"/>
          </w:tcPr>
          <w:p w:rsidR="00367D6F" w:rsidRDefault="006D29F0">
            <w:pPr>
              <w:keepNext/>
              <w:keepLines/>
              <w:spacing w:after="0" w:line="240" w:lineRule="auto"/>
            </w:pPr>
            <w:r>
              <w:rPr>
                <w:sz w:val="18"/>
              </w:rPr>
              <w:t>242</w:t>
            </w:r>
          </w:p>
        </w:tc>
        <w:tc>
          <w:tcPr>
            <w:tcW w:w="1860" w:type="dxa"/>
            <w:tcMar>
              <w:top w:w="0" w:type="dxa"/>
              <w:bottom w:w="0" w:type="dxa"/>
            </w:tcMar>
            <w:vAlign w:val="center"/>
          </w:tcPr>
          <w:p w:rsidR="00367D6F" w:rsidRDefault="006D29F0">
            <w:pPr>
              <w:keepNext/>
              <w:keepLines/>
              <w:spacing w:after="0" w:line="240" w:lineRule="auto"/>
              <w:jc w:val="right"/>
            </w:pPr>
            <w:r>
              <w:rPr>
                <w:sz w:val="18"/>
              </w:rPr>
              <w:t>1.028,87</w:t>
            </w:r>
          </w:p>
        </w:tc>
        <w:tc>
          <w:tcPr>
            <w:tcW w:w="1860" w:type="dxa"/>
            <w:tcMar>
              <w:top w:w="0" w:type="dxa"/>
              <w:bottom w:w="0" w:type="dxa"/>
            </w:tcMar>
            <w:vAlign w:val="center"/>
          </w:tcPr>
          <w:p w:rsidR="00367D6F" w:rsidRDefault="006D29F0">
            <w:pPr>
              <w:keepNext/>
              <w:keepLines/>
              <w:spacing w:after="0" w:line="240" w:lineRule="auto"/>
              <w:jc w:val="right"/>
            </w:pPr>
            <w:r>
              <w:rPr>
                <w:sz w:val="18"/>
              </w:rPr>
              <w:t>323,35</w:t>
            </w:r>
          </w:p>
        </w:tc>
        <w:tc>
          <w:tcPr>
            <w:tcW w:w="700" w:type="dxa"/>
            <w:tcMar>
              <w:top w:w="0" w:type="dxa"/>
              <w:bottom w:w="0" w:type="dxa"/>
            </w:tcMar>
            <w:vAlign w:val="center"/>
          </w:tcPr>
          <w:p w:rsidR="00367D6F" w:rsidRDefault="006D29F0">
            <w:pPr>
              <w:keepNext/>
              <w:keepLines/>
              <w:spacing w:after="0" w:line="240" w:lineRule="auto"/>
              <w:jc w:val="right"/>
            </w:pPr>
            <w:r>
              <w:rPr>
                <w:sz w:val="18"/>
              </w:rPr>
              <w:t>31,4</w:t>
            </w:r>
          </w:p>
        </w:tc>
      </w:tr>
    </w:tbl>
    <w:p w:rsidR="00367D6F" w:rsidRDefault="00367D6F">
      <w:pPr>
        <w:spacing w:after="0"/>
      </w:pPr>
    </w:p>
    <w:p w:rsidR="00367D6F" w:rsidRDefault="006D29F0">
      <w:r>
        <w:t>U okviru ove skupine nalazi se samo otvorena obveza za nabavu knjiga za školsku knjižnicu za račun zaprimljen krajem godine, dok su sve ostale obveze za nabavu dugotrajne imovine podmirene do kraja 2025. godine.</w:t>
      </w:r>
    </w:p>
    <w:p w:rsidR="00367D6F" w:rsidRDefault="00367D6F"/>
    <w:p w:rsidR="00367D6F" w:rsidRDefault="006D29F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27</w:t>
            </w:r>
          </w:p>
        </w:tc>
        <w:tc>
          <w:tcPr>
            <w:tcW w:w="3180" w:type="dxa"/>
            <w:tcMar>
              <w:top w:w="0" w:type="dxa"/>
              <w:bottom w:w="0" w:type="dxa"/>
            </w:tcMar>
            <w:vAlign w:val="center"/>
          </w:tcPr>
          <w:p w:rsidR="00367D6F" w:rsidRDefault="006D29F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367D6F" w:rsidRDefault="006D29F0">
            <w:pPr>
              <w:keepNext/>
              <w:keepLines/>
              <w:spacing w:after="0" w:line="240" w:lineRule="auto"/>
            </w:pPr>
            <w:r>
              <w:rPr>
                <w:sz w:val="18"/>
              </w:rPr>
              <w:t>27</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26.130,08</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U okviru ove podskupine nalaze se obveze za EU predujmove dane iz državnog proračuna, obveze proračunskih korisnika za povrat u proračun i obveze za povrat u proračun naknada za bolovanje na teret HZZO-a.</w:t>
      </w:r>
    </w:p>
    <w:p w:rsidR="00367D6F" w:rsidRDefault="00367D6F"/>
    <w:p w:rsidR="00367D6F" w:rsidRDefault="006D29F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922</w:t>
            </w:r>
          </w:p>
        </w:tc>
        <w:tc>
          <w:tcPr>
            <w:tcW w:w="3180" w:type="dxa"/>
            <w:tcMar>
              <w:top w:w="0" w:type="dxa"/>
              <w:bottom w:w="0" w:type="dxa"/>
            </w:tcMar>
            <w:vAlign w:val="center"/>
          </w:tcPr>
          <w:p w:rsidR="00367D6F" w:rsidRDefault="006D29F0">
            <w:pPr>
              <w:keepNext/>
              <w:keepLines/>
              <w:spacing w:after="0" w:line="240" w:lineRule="auto"/>
            </w:pPr>
            <w:r>
              <w:rPr>
                <w:sz w:val="18"/>
              </w:rPr>
              <w:t>Rezultat - višak/manjak (šifre 9221-9222)</w:t>
            </w:r>
          </w:p>
        </w:tc>
        <w:tc>
          <w:tcPr>
            <w:tcW w:w="700" w:type="dxa"/>
            <w:tcMar>
              <w:top w:w="0" w:type="dxa"/>
              <w:bottom w:w="0" w:type="dxa"/>
            </w:tcMar>
            <w:vAlign w:val="center"/>
          </w:tcPr>
          <w:p w:rsidR="00367D6F" w:rsidRDefault="006D29F0">
            <w:pPr>
              <w:keepNext/>
              <w:keepLines/>
              <w:spacing w:after="0" w:line="240" w:lineRule="auto"/>
            </w:pPr>
            <w:r>
              <w:rPr>
                <w:sz w:val="18"/>
              </w:rPr>
              <w:t>922</w:t>
            </w:r>
          </w:p>
        </w:tc>
        <w:tc>
          <w:tcPr>
            <w:tcW w:w="1860" w:type="dxa"/>
            <w:tcMar>
              <w:top w:w="0" w:type="dxa"/>
              <w:bottom w:w="0" w:type="dxa"/>
            </w:tcMar>
            <w:vAlign w:val="center"/>
          </w:tcPr>
          <w:p w:rsidR="00367D6F" w:rsidRDefault="006D29F0">
            <w:pPr>
              <w:keepNext/>
              <w:keepLines/>
              <w:spacing w:after="0" w:line="240" w:lineRule="auto"/>
              <w:jc w:val="right"/>
            </w:pPr>
            <w:r>
              <w:rPr>
                <w:sz w:val="18"/>
              </w:rPr>
              <w:t>-19.920,21</w:t>
            </w:r>
          </w:p>
        </w:tc>
        <w:tc>
          <w:tcPr>
            <w:tcW w:w="1860" w:type="dxa"/>
            <w:tcMar>
              <w:top w:w="0" w:type="dxa"/>
              <w:bottom w:w="0" w:type="dxa"/>
            </w:tcMar>
            <w:vAlign w:val="center"/>
          </w:tcPr>
          <w:p w:rsidR="00367D6F" w:rsidRDefault="006D29F0">
            <w:pPr>
              <w:keepNext/>
              <w:keepLines/>
              <w:spacing w:after="0" w:line="240" w:lineRule="auto"/>
              <w:jc w:val="right"/>
            </w:pPr>
            <w:r>
              <w:rPr>
                <w:sz w:val="18"/>
              </w:rPr>
              <w:t>-100.988,07</w:t>
            </w:r>
          </w:p>
        </w:tc>
        <w:tc>
          <w:tcPr>
            <w:tcW w:w="700" w:type="dxa"/>
            <w:tcMar>
              <w:top w:w="0" w:type="dxa"/>
              <w:bottom w:w="0" w:type="dxa"/>
            </w:tcMar>
            <w:vAlign w:val="center"/>
          </w:tcPr>
          <w:p w:rsidR="00367D6F" w:rsidRDefault="006D29F0">
            <w:pPr>
              <w:keepNext/>
              <w:keepLines/>
              <w:spacing w:after="0" w:line="240" w:lineRule="auto"/>
              <w:jc w:val="right"/>
            </w:pPr>
            <w:r>
              <w:rPr>
                <w:sz w:val="18"/>
              </w:rPr>
              <w:t>507,0</w:t>
            </w:r>
          </w:p>
        </w:tc>
      </w:tr>
    </w:tbl>
    <w:p w:rsidR="00367D6F" w:rsidRDefault="00367D6F">
      <w:pPr>
        <w:spacing w:after="0"/>
      </w:pPr>
    </w:p>
    <w:p w:rsidR="00367D6F" w:rsidRDefault="006D29F0">
      <w:r>
        <w:t>Manjak prihoda ostvaren u 2025. godini iznosi 81.067,86 eura. Zajedno s prenesenim manjkom prihoda iz 2024. godine koji je iznosio 19.920,21 eura, manjak prihoda za pokriće u sljedećem razdoblju iznosi 100.988,07 eura i sastoji se od manjka prihoda poslovanja u iznosu od 102.757,05 eura i viška prihoda od nefinancijske imovine u iznosu od 1.768,98 eura.</w:t>
      </w:r>
    </w:p>
    <w:p w:rsidR="00367D6F" w:rsidRDefault="006D29F0">
      <w:r>
        <w:t>Manjak prihoda poslovanja u iznosu od 102.757,05 eura prema izvorima sastoji se od: manjka prihoda od Grada Rijeke (izvor 1100) u iznosu od 10.818,61 eura, manjka prihoda od Grada Rijeke (izvor 4110) u iznosu od 6.024,81 eura, viška vlastitih prihoda (izvor 3100) u iznosu 4.057,07 eura, viška prihoda po posebnim prihodima (izvor 4400) u iznosu od 6.846,71 eura, manjka prihoda iz državnog proračuna (izvor 5710) u iznosu od 86.649,83 eura, manjka prihoda od tekućih pomoći temeljem prijenosa EU sredstava (izvor 5760) u iznosu od 10.167,90 eura i viška prihoda od tekućih donacija (izvor 6200) u iznosu od 0,32 eura.</w:t>
      </w:r>
    </w:p>
    <w:p w:rsidR="00367D6F" w:rsidRDefault="006D29F0">
      <w:r>
        <w:t>Višak prihoda od nefinancijske imovine u iznosu od 1.768,98 eura prema izvorima sastoji se od: viška prihoda iz državnog proračuna (izvor 5710) u iznosu od 1.659,21 eura, viška prihoda od kapitalnih donacija (izvor 6200) u iznosu od 24,00 eura i viška prihoda od prodaje stanova (izvor 7300) u iznosu od 85,77 eura.</w:t>
      </w:r>
    </w:p>
    <w:p w:rsidR="00367D6F" w:rsidRDefault="006D29F0">
      <w:r>
        <w:t> </w:t>
      </w:r>
    </w:p>
    <w:p w:rsidR="00367D6F" w:rsidRDefault="00367D6F"/>
    <w:p w:rsidR="00367D6F" w:rsidRDefault="006D29F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92212</w:t>
            </w:r>
          </w:p>
        </w:tc>
        <w:tc>
          <w:tcPr>
            <w:tcW w:w="3180" w:type="dxa"/>
            <w:tcMar>
              <w:top w:w="0" w:type="dxa"/>
              <w:bottom w:w="0" w:type="dxa"/>
            </w:tcMar>
            <w:vAlign w:val="center"/>
          </w:tcPr>
          <w:p w:rsidR="00367D6F" w:rsidRDefault="006D29F0">
            <w:pPr>
              <w:keepNext/>
              <w:keepLines/>
              <w:spacing w:after="0" w:line="240" w:lineRule="auto"/>
            </w:pPr>
            <w:r>
              <w:rPr>
                <w:sz w:val="18"/>
              </w:rPr>
              <w:t>Višak prihoda od nefinancijske imovine</w:t>
            </w:r>
          </w:p>
        </w:tc>
        <w:tc>
          <w:tcPr>
            <w:tcW w:w="700" w:type="dxa"/>
            <w:tcMar>
              <w:top w:w="0" w:type="dxa"/>
              <w:bottom w:w="0" w:type="dxa"/>
            </w:tcMar>
            <w:vAlign w:val="center"/>
          </w:tcPr>
          <w:p w:rsidR="00367D6F" w:rsidRDefault="006D29F0">
            <w:pPr>
              <w:keepNext/>
              <w:keepLines/>
              <w:spacing w:after="0" w:line="240" w:lineRule="auto"/>
            </w:pPr>
            <w:r>
              <w:rPr>
                <w:sz w:val="18"/>
              </w:rPr>
              <w:t>92212</w:t>
            </w:r>
          </w:p>
        </w:tc>
        <w:tc>
          <w:tcPr>
            <w:tcW w:w="1860" w:type="dxa"/>
            <w:tcMar>
              <w:top w:w="0" w:type="dxa"/>
              <w:bottom w:w="0" w:type="dxa"/>
            </w:tcMar>
            <w:vAlign w:val="center"/>
          </w:tcPr>
          <w:p w:rsidR="00367D6F" w:rsidRDefault="006D29F0">
            <w:pPr>
              <w:keepNext/>
              <w:keepLines/>
              <w:spacing w:after="0" w:line="240" w:lineRule="auto"/>
              <w:jc w:val="right"/>
            </w:pPr>
            <w:r>
              <w:rPr>
                <w:sz w:val="18"/>
              </w:rPr>
              <w:t>34,48</w:t>
            </w:r>
          </w:p>
        </w:tc>
        <w:tc>
          <w:tcPr>
            <w:tcW w:w="1860" w:type="dxa"/>
            <w:tcMar>
              <w:top w:w="0" w:type="dxa"/>
              <w:bottom w:w="0" w:type="dxa"/>
            </w:tcMar>
            <w:vAlign w:val="center"/>
          </w:tcPr>
          <w:p w:rsidR="00367D6F" w:rsidRDefault="006D29F0">
            <w:pPr>
              <w:keepNext/>
              <w:keepLines/>
              <w:spacing w:after="0" w:line="240" w:lineRule="auto"/>
              <w:jc w:val="right"/>
            </w:pPr>
            <w:r>
              <w:rPr>
                <w:sz w:val="18"/>
              </w:rPr>
              <w:t>1.768,98</w:t>
            </w:r>
          </w:p>
        </w:tc>
        <w:tc>
          <w:tcPr>
            <w:tcW w:w="700" w:type="dxa"/>
            <w:tcMar>
              <w:top w:w="0" w:type="dxa"/>
              <w:bottom w:w="0" w:type="dxa"/>
            </w:tcMar>
            <w:vAlign w:val="center"/>
          </w:tcPr>
          <w:p w:rsidR="00367D6F" w:rsidRDefault="006D29F0">
            <w:pPr>
              <w:keepNext/>
              <w:keepLines/>
              <w:spacing w:after="0" w:line="240" w:lineRule="auto"/>
              <w:jc w:val="right"/>
            </w:pPr>
            <w:r>
              <w:rPr>
                <w:sz w:val="18"/>
              </w:rPr>
              <w:t>5130,5</w:t>
            </w:r>
          </w:p>
        </w:tc>
      </w:tr>
    </w:tbl>
    <w:p w:rsidR="00367D6F" w:rsidRDefault="00367D6F">
      <w:pPr>
        <w:spacing w:after="0"/>
      </w:pPr>
    </w:p>
    <w:p w:rsidR="00367D6F" w:rsidRDefault="006D29F0">
      <w:r>
        <w:t>Višak prihoda od prodaje stanova u iznosu od 1.768,98 eura prema izvorima sastoji se od: viška prihoda iz državnog proračuna (izvor 5710) u iznosu od 1.659,21 eura, viška prihoda od kapitalnih donacija (izvor 6200) u iznosu od 24,00 eura i viška prihoda od prodaje stanova (izvor 7300) u iznosu od 85,77 eura.</w:t>
      </w:r>
    </w:p>
    <w:p w:rsidR="00367D6F" w:rsidRDefault="006D29F0">
      <w:r>
        <w:t> </w:t>
      </w:r>
    </w:p>
    <w:p w:rsidR="00367D6F" w:rsidRDefault="00367D6F"/>
    <w:p w:rsidR="00367D6F" w:rsidRDefault="006D29F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92221</w:t>
            </w:r>
          </w:p>
        </w:tc>
        <w:tc>
          <w:tcPr>
            <w:tcW w:w="3180" w:type="dxa"/>
            <w:tcMar>
              <w:top w:w="0" w:type="dxa"/>
              <w:bottom w:w="0" w:type="dxa"/>
            </w:tcMar>
            <w:vAlign w:val="center"/>
          </w:tcPr>
          <w:p w:rsidR="00367D6F" w:rsidRDefault="006D29F0">
            <w:pPr>
              <w:keepNext/>
              <w:keepLines/>
              <w:spacing w:after="0" w:line="240" w:lineRule="auto"/>
            </w:pPr>
            <w:r>
              <w:rPr>
                <w:sz w:val="18"/>
              </w:rPr>
              <w:t>Manjak prihoda poslovanja</w:t>
            </w:r>
          </w:p>
        </w:tc>
        <w:tc>
          <w:tcPr>
            <w:tcW w:w="700" w:type="dxa"/>
            <w:tcMar>
              <w:top w:w="0" w:type="dxa"/>
              <w:bottom w:w="0" w:type="dxa"/>
            </w:tcMar>
            <w:vAlign w:val="center"/>
          </w:tcPr>
          <w:p w:rsidR="00367D6F" w:rsidRDefault="006D29F0">
            <w:pPr>
              <w:keepNext/>
              <w:keepLines/>
              <w:spacing w:after="0" w:line="240" w:lineRule="auto"/>
            </w:pPr>
            <w:r>
              <w:rPr>
                <w:sz w:val="18"/>
              </w:rPr>
              <w:t>92221</w:t>
            </w:r>
          </w:p>
        </w:tc>
        <w:tc>
          <w:tcPr>
            <w:tcW w:w="1860" w:type="dxa"/>
            <w:tcMar>
              <w:top w:w="0" w:type="dxa"/>
              <w:bottom w:w="0" w:type="dxa"/>
            </w:tcMar>
            <w:vAlign w:val="center"/>
          </w:tcPr>
          <w:p w:rsidR="00367D6F" w:rsidRDefault="006D29F0">
            <w:pPr>
              <w:keepNext/>
              <w:keepLines/>
              <w:spacing w:after="0" w:line="240" w:lineRule="auto"/>
              <w:jc w:val="right"/>
            </w:pPr>
            <w:r>
              <w:rPr>
                <w:sz w:val="18"/>
              </w:rPr>
              <w:t>19.954,69</w:t>
            </w:r>
          </w:p>
        </w:tc>
        <w:tc>
          <w:tcPr>
            <w:tcW w:w="1860" w:type="dxa"/>
            <w:tcMar>
              <w:top w:w="0" w:type="dxa"/>
              <w:bottom w:w="0" w:type="dxa"/>
            </w:tcMar>
            <w:vAlign w:val="center"/>
          </w:tcPr>
          <w:p w:rsidR="00367D6F" w:rsidRDefault="006D29F0">
            <w:pPr>
              <w:keepNext/>
              <w:keepLines/>
              <w:spacing w:after="0" w:line="240" w:lineRule="auto"/>
              <w:jc w:val="right"/>
            </w:pPr>
            <w:r>
              <w:rPr>
                <w:sz w:val="18"/>
              </w:rPr>
              <w:t>102.757,05</w:t>
            </w:r>
          </w:p>
        </w:tc>
        <w:tc>
          <w:tcPr>
            <w:tcW w:w="700" w:type="dxa"/>
            <w:tcMar>
              <w:top w:w="0" w:type="dxa"/>
              <w:bottom w:w="0" w:type="dxa"/>
            </w:tcMar>
            <w:vAlign w:val="center"/>
          </w:tcPr>
          <w:p w:rsidR="00367D6F" w:rsidRDefault="006D29F0">
            <w:pPr>
              <w:keepNext/>
              <w:keepLines/>
              <w:spacing w:after="0" w:line="240" w:lineRule="auto"/>
              <w:jc w:val="right"/>
            </w:pPr>
            <w:r>
              <w:rPr>
                <w:sz w:val="18"/>
              </w:rPr>
              <w:t>515,0</w:t>
            </w:r>
          </w:p>
        </w:tc>
      </w:tr>
    </w:tbl>
    <w:p w:rsidR="00367D6F" w:rsidRDefault="00367D6F">
      <w:pPr>
        <w:spacing w:after="0"/>
      </w:pPr>
    </w:p>
    <w:p w:rsidR="00367D6F" w:rsidRDefault="006D29F0">
      <w:r>
        <w:t>Manjak prihoda poslovanja u iznosu od 102.757,05 eura prema izvorima sastoji se od: manjka prihoda od Grada Rijeke (izvor 1100) u iznosu od 10.818,61 eura, manjka prihoda od Grada Rijeke (izvor 4110) u iznosu od 6.024,81 eura, viška vlastitih prihoda (izvor 3100) u iznosu 4.057,07 eura, viška prihoda po posebnim prihodima (izvor 4400) u iznosu od 6.846,71 eura, manjka prihoda iz državnog proračuna (izvor 5710) u iznosu od 86.649,83 eura, manjka prihoda od tekućih pomoći temeljem prijenosa EU sredstava (izvor 5760) u iznosu od 10.167,90 eura i viška prihoda od tekućih donacija (izvor 6200) u iznosu od 0,32 eura.</w:t>
      </w:r>
    </w:p>
    <w:p w:rsidR="00367D6F" w:rsidRDefault="006D29F0">
      <w:r>
        <w:t> </w:t>
      </w:r>
    </w:p>
    <w:p w:rsidR="00367D6F" w:rsidRDefault="006D29F0">
      <w:r>
        <w:t> </w:t>
      </w:r>
    </w:p>
    <w:p w:rsidR="00367D6F" w:rsidRDefault="00367D6F"/>
    <w:p w:rsidR="00367D6F" w:rsidRDefault="006D29F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96</w:t>
            </w:r>
          </w:p>
        </w:tc>
        <w:tc>
          <w:tcPr>
            <w:tcW w:w="3180" w:type="dxa"/>
            <w:tcMar>
              <w:top w:w="0" w:type="dxa"/>
              <w:bottom w:w="0" w:type="dxa"/>
            </w:tcMar>
            <w:vAlign w:val="center"/>
          </w:tcPr>
          <w:p w:rsidR="00367D6F" w:rsidRDefault="006D29F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367D6F" w:rsidRDefault="006D29F0">
            <w:pPr>
              <w:keepNext/>
              <w:keepLines/>
              <w:spacing w:after="0" w:line="240" w:lineRule="auto"/>
            </w:pPr>
            <w:r>
              <w:rPr>
                <w:sz w:val="18"/>
              </w:rPr>
              <w:t>96</w:t>
            </w:r>
          </w:p>
        </w:tc>
        <w:tc>
          <w:tcPr>
            <w:tcW w:w="1860" w:type="dxa"/>
            <w:tcMar>
              <w:top w:w="0" w:type="dxa"/>
              <w:bottom w:w="0" w:type="dxa"/>
            </w:tcMar>
            <w:vAlign w:val="center"/>
          </w:tcPr>
          <w:p w:rsidR="00367D6F" w:rsidRDefault="006D29F0">
            <w:pPr>
              <w:keepNext/>
              <w:keepLines/>
              <w:spacing w:after="0" w:line="240" w:lineRule="auto"/>
              <w:jc w:val="right"/>
            </w:pPr>
            <w:r>
              <w:rPr>
                <w:sz w:val="18"/>
              </w:rPr>
              <w:t>8.766,18</w:t>
            </w:r>
          </w:p>
        </w:tc>
        <w:tc>
          <w:tcPr>
            <w:tcW w:w="1860" w:type="dxa"/>
            <w:tcMar>
              <w:top w:w="0" w:type="dxa"/>
              <w:bottom w:w="0" w:type="dxa"/>
            </w:tcMar>
            <w:vAlign w:val="center"/>
          </w:tcPr>
          <w:p w:rsidR="00367D6F" w:rsidRDefault="006D29F0">
            <w:pPr>
              <w:keepNext/>
              <w:keepLines/>
              <w:spacing w:after="0" w:line="240" w:lineRule="auto"/>
              <w:jc w:val="right"/>
            </w:pPr>
            <w:r>
              <w:rPr>
                <w:sz w:val="18"/>
              </w:rPr>
              <w:t>104.696,46</w:t>
            </w:r>
          </w:p>
        </w:tc>
        <w:tc>
          <w:tcPr>
            <w:tcW w:w="700" w:type="dxa"/>
            <w:tcMar>
              <w:top w:w="0" w:type="dxa"/>
              <w:bottom w:w="0" w:type="dxa"/>
            </w:tcMar>
            <w:vAlign w:val="center"/>
          </w:tcPr>
          <w:p w:rsidR="00367D6F" w:rsidRDefault="006D29F0">
            <w:pPr>
              <w:keepNext/>
              <w:keepLines/>
              <w:spacing w:after="0" w:line="240" w:lineRule="auto"/>
              <w:jc w:val="right"/>
            </w:pPr>
            <w:r>
              <w:rPr>
                <w:sz w:val="18"/>
              </w:rPr>
              <w:t>1194,3</w:t>
            </w:r>
          </w:p>
        </w:tc>
      </w:tr>
    </w:tbl>
    <w:p w:rsidR="00367D6F" w:rsidRDefault="00367D6F">
      <w:pPr>
        <w:spacing w:after="0"/>
      </w:pPr>
    </w:p>
    <w:p w:rsidR="00367D6F" w:rsidRDefault="006D29F0">
      <w:r>
        <w:t>Obračunati prihodi poslovanja veći su u odnosu na 2024. godinu budući da se od 1. siječnja 2025. godine, temeljem Izmjena i dopuna Pravilnika o proračunskom računovodstvu, u bilanci evidentiraju i potraživanja i obračunati prihodi za pomoći iz državnog proračuna. Radi se o obračunatim prihodima za plaće, prijevoz na posao, naknadi zbog nezapošljavanja osoba s invaliditetom i materijalnim pravima za prosinac 2025. te obračunatom prihodu za nabavu knjige "Herojski Vukovar".</w:t>
      </w:r>
    </w:p>
    <w:p w:rsidR="00367D6F" w:rsidRDefault="00367D6F"/>
    <w:p w:rsidR="00367D6F" w:rsidRDefault="006D29F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dio 16</w:t>
            </w:r>
          </w:p>
        </w:tc>
        <w:tc>
          <w:tcPr>
            <w:tcW w:w="3180" w:type="dxa"/>
            <w:tcMar>
              <w:top w:w="0" w:type="dxa"/>
              <w:bottom w:w="0" w:type="dxa"/>
            </w:tcMar>
            <w:vAlign w:val="center"/>
          </w:tcPr>
          <w:p w:rsidR="00367D6F" w:rsidRDefault="006D29F0">
            <w:pPr>
              <w:keepNext/>
              <w:keepLines/>
              <w:spacing w:after="0" w:line="240" w:lineRule="auto"/>
            </w:pPr>
            <w:r>
              <w:rPr>
                <w:sz w:val="18"/>
              </w:rPr>
              <w:t>Potraživanja za prihode poslovanja - nedospjela</w:t>
            </w:r>
          </w:p>
        </w:tc>
        <w:tc>
          <w:tcPr>
            <w:tcW w:w="700" w:type="dxa"/>
            <w:tcMar>
              <w:top w:w="0" w:type="dxa"/>
              <w:bottom w:w="0" w:type="dxa"/>
            </w:tcMar>
            <w:vAlign w:val="center"/>
          </w:tcPr>
          <w:p w:rsidR="00367D6F" w:rsidRDefault="006D29F0">
            <w:pPr>
              <w:keepNext/>
              <w:keepLines/>
              <w:spacing w:after="0" w:line="240" w:lineRule="auto"/>
            </w:pPr>
            <w:r>
              <w:rPr>
                <w:sz w:val="18"/>
              </w:rPr>
              <w:t>dio 16 N</w:t>
            </w:r>
          </w:p>
        </w:tc>
        <w:tc>
          <w:tcPr>
            <w:tcW w:w="1860" w:type="dxa"/>
            <w:tcMar>
              <w:top w:w="0" w:type="dxa"/>
              <w:bottom w:w="0" w:type="dxa"/>
            </w:tcMar>
            <w:vAlign w:val="center"/>
          </w:tcPr>
          <w:p w:rsidR="00367D6F" w:rsidRDefault="006D29F0">
            <w:pPr>
              <w:keepNext/>
              <w:keepLines/>
              <w:spacing w:after="0" w:line="240" w:lineRule="auto"/>
              <w:jc w:val="right"/>
            </w:pPr>
            <w:r>
              <w:rPr>
                <w:sz w:val="18"/>
              </w:rPr>
              <w:t>25.510,17</w:t>
            </w:r>
          </w:p>
        </w:tc>
        <w:tc>
          <w:tcPr>
            <w:tcW w:w="1860" w:type="dxa"/>
            <w:tcMar>
              <w:top w:w="0" w:type="dxa"/>
              <w:bottom w:w="0" w:type="dxa"/>
            </w:tcMar>
            <w:vAlign w:val="center"/>
          </w:tcPr>
          <w:p w:rsidR="00367D6F" w:rsidRDefault="006D29F0">
            <w:pPr>
              <w:keepNext/>
              <w:keepLines/>
              <w:spacing w:after="0" w:line="240" w:lineRule="auto"/>
              <w:jc w:val="right"/>
            </w:pPr>
            <w:r>
              <w:rPr>
                <w:sz w:val="18"/>
              </w:rPr>
              <w:t>147.068,95</w:t>
            </w:r>
          </w:p>
        </w:tc>
        <w:tc>
          <w:tcPr>
            <w:tcW w:w="700" w:type="dxa"/>
            <w:tcMar>
              <w:top w:w="0" w:type="dxa"/>
              <w:bottom w:w="0" w:type="dxa"/>
            </w:tcMar>
            <w:vAlign w:val="center"/>
          </w:tcPr>
          <w:p w:rsidR="00367D6F" w:rsidRDefault="006D29F0">
            <w:pPr>
              <w:keepNext/>
              <w:keepLines/>
              <w:spacing w:after="0" w:line="240" w:lineRule="auto"/>
              <w:jc w:val="right"/>
            </w:pPr>
            <w:r>
              <w:rPr>
                <w:sz w:val="18"/>
              </w:rPr>
              <w:t>576,5</w:t>
            </w:r>
          </w:p>
        </w:tc>
      </w:tr>
    </w:tbl>
    <w:p w:rsidR="00367D6F" w:rsidRDefault="00367D6F">
      <w:pPr>
        <w:spacing w:after="0"/>
      </w:pPr>
    </w:p>
    <w:p w:rsidR="00367D6F" w:rsidRDefault="006D29F0">
      <w:r>
        <w:t>Potraživanja za prihode poslovanja veća su u odnosu na 2024. godinu budući da se od 1. siječnja 2025. godine, temeljem Izmjena i dopuna Pravilnika o proračunskom računovodstvu, u bilanci evidentiraju i potraživanja i obračunati prihodi za pomoći iz državnog proračuna. Radi se o obračunatim prihodima za plaće, prijevoz na posao, naknadi zbog nezapošljavanja osoba s invaliditetom i materijalnim pravima za prosinac 2025. te obračunatom prihodu za nabavu knjige "Herojski Vukovar".</w:t>
      </w:r>
    </w:p>
    <w:p w:rsidR="00367D6F" w:rsidRDefault="00367D6F"/>
    <w:p w:rsidR="00367D6F" w:rsidRDefault="006D29F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12911</w:t>
            </w:r>
          </w:p>
        </w:tc>
        <w:tc>
          <w:tcPr>
            <w:tcW w:w="3180" w:type="dxa"/>
            <w:tcMar>
              <w:top w:w="0" w:type="dxa"/>
              <w:bottom w:w="0" w:type="dxa"/>
            </w:tcMar>
            <w:vAlign w:val="center"/>
          </w:tcPr>
          <w:p w:rsidR="00367D6F" w:rsidRDefault="006D29F0">
            <w:pPr>
              <w:keepNext/>
              <w:keepLines/>
              <w:spacing w:after="0" w:line="240" w:lineRule="auto"/>
            </w:pPr>
            <w:r>
              <w:rPr>
                <w:sz w:val="18"/>
              </w:rPr>
              <w:t>Potraživanja za naknade koje se refundiraju</w:t>
            </w:r>
          </w:p>
        </w:tc>
        <w:tc>
          <w:tcPr>
            <w:tcW w:w="700" w:type="dxa"/>
            <w:tcMar>
              <w:top w:w="0" w:type="dxa"/>
              <w:bottom w:w="0" w:type="dxa"/>
            </w:tcMar>
            <w:vAlign w:val="center"/>
          </w:tcPr>
          <w:p w:rsidR="00367D6F" w:rsidRDefault="006D29F0">
            <w:pPr>
              <w:keepNext/>
              <w:keepLines/>
              <w:spacing w:after="0" w:line="240" w:lineRule="auto"/>
            </w:pPr>
            <w:r>
              <w:rPr>
                <w:sz w:val="18"/>
              </w:rPr>
              <w:t>12911</w:t>
            </w:r>
          </w:p>
        </w:tc>
        <w:tc>
          <w:tcPr>
            <w:tcW w:w="1860" w:type="dxa"/>
            <w:tcMar>
              <w:top w:w="0" w:type="dxa"/>
              <w:bottom w:w="0" w:type="dxa"/>
            </w:tcMar>
            <w:vAlign w:val="center"/>
          </w:tcPr>
          <w:p w:rsidR="00367D6F" w:rsidRDefault="006D29F0">
            <w:pPr>
              <w:keepNext/>
              <w:keepLines/>
              <w:spacing w:after="0" w:line="240" w:lineRule="auto"/>
              <w:jc w:val="right"/>
            </w:pPr>
            <w:r>
              <w:rPr>
                <w:sz w:val="18"/>
              </w:rPr>
              <w:t>1.115,77</w:t>
            </w:r>
          </w:p>
        </w:tc>
        <w:tc>
          <w:tcPr>
            <w:tcW w:w="1860" w:type="dxa"/>
            <w:tcMar>
              <w:top w:w="0" w:type="dxa"/>
              <w:bottom w:w="0" w:type="dxa"/>
            </w:tcMar>
            <w:vAlign w:val="center"/>
          </w:tcPr>
          <w:p w:rsidR="00367D6F" w:rsidRDefault="006D29F0">
            <w:pPr>
              <w:keepNext/>
              <w:keepLines/>
              <w:spacing w:after="0" w:line="240" w:lineRule="auto"/>
              <w:jc w:val="right"/>
            </w:pPr>
            <w:r>
              <w:rPr>
                <w:sz w:val="18"/>
              </w:rPr>
              <w:t>2.363,58</w:t>
            </w:r>
          </w:p>
        </w:tc>
        <w:tc>
          <w:tcPr>
            <w:tcW w:w="700" w:type="dxa"/>
            <w:tcMar>
              <w:top w:w="0" w:type="dxa"/>
              <w:bottom w:w="0" w:type="dxa"/>
            </w:tcMar>
            <w:vAlign w:val="center"/>
          </w:tcPr>
          <w:p w:rsidR="00367D6F" w:rsidRDefault="006D29F0">
            <w:pPr>
              <w:keepNext/>
              <w:keepLines/>
              <w:spacing w:after="0" w:line="240" w:lineRule="auto"/>
              <w:jc w:val="right"/>
            </w:pPr>
            <w:r>
              <w:rPr>
                <w:sz w:val="18"/>
              </w:rPr>
              <w:t>211,8</w:t>
            </w:r>
          </w:p>
        </w:tc>
      </w:tr>
    </w:tbl>
    <w:p w:rsidR="00367D6F" w:rsidRDefault="00367D6F">
      <w:pPr>
        <w:spacing w:after="0"/>
      </w:pPr>
    </w:p>
    <w:p w:rsidR="00367D6F" w:rsidRDefault="006D29F0">
      <w:r>
        <w:t>Ostala potraživanja odnose se na naknade za bolovanje na teret HZZO-a za koje nije provedena kompenzacija. Iznosi naknade za bolovanje na teret HZZO-a u 2025. su veći u odnosu na 2024. godinu radi većeg broja bolovanja.</w:t>
      </w:r>
    </w:p>
    <w:p w:rsidR="00367D6F" w:rsidRDefault="00367D6F"/>
    <w:p w:rsidR="00367D6F" w:rsidRDefault="006D29F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16721</w:t>
            </w:r>
          </w:p>
        </w:tc>
        <w:tc>
          <w:tcPr>
            <w:tcW w:w="3180" w:type="dxa"/>
            <w:tcMar>
              <w:top w:w="0" w:type="dxa"/>
              <w:bottom w:w="0" w:type="dxa"/>
            </w:tcMar>
            <w:vAlign w:val="center"/>
          </w:tcPr>
          <w:p w:rsidR="00367D6F" w:rsidRDefault="006D29F0">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rsidR="00367D6F" w:rsidRDefault="006D29F0">
            <w:pPr>
              <w:keepNext/>
              <w:keepLines/>
              <w:spacing w:after="0" w:line="240" w:lineRule="auto"/>
            </w:pPr>
            <w:r>
              <w:rPr>
                <w:sz w:val="18"/>
              </w:rPr>
              <w:t>16721</w:t>
            </w:r>
          </w:p>
        </w:tc>
        <w:tc>
          <w:tcPr>
            <w:tcW w:w="1860" w:type="dxa"/>
            <w:tcMar>
              <w:top w:w="0" w:type="dxa"/>
              <w:bottom w:w="0" w:type="dxa"/>
            </w:tcMar>
            <w:vAlign w:val="center"/>
          </w:tcPr>
          <w:p w:rsidR="00367D6F" w:rsidRDefault="006D29F0">
            <w:pPr>
              <w:keepNext/>
              <w:keepLines/>
              <w:spacing w:after="0" w:line="240" w:lineRule="auto"/>
              <w:jc w:val="right"/>
            </w:pPr>
            <w:r>
              <w:rPr>
                <w:sz w:val="18"/>
              </w:rPr>
              <w:t>19.907,77</w:t>
            </w:r>
          </w:p>
        </w:tc>
        <w:tc>
          <w:tcPr>
            <w:tcW w:w="1860" w:type="dxa"/>
            <w:tcMar>
              <w:top w:w="0" w:type="dxa"/>
              <w:bottom w:w="0" w:type="dxa"/>
            </w:tcMar>
            <w:vAlign w:val="center"/>
          </w:tcPr>
          <w:p w:rsidR="00367D6F" w:rsidRDefault="006D29F0">
            <w:pPr>
              <w:keepNext/>
              <w:keepLines/>
              <w:spacing w:after="0" w:line="240" w:lineRule="auto"/>
              <w:jc w:val="right"/>
            </w:pPr>
            <w:r>
              <w:rPr>
                <w:sz w:val="18"/>
              </w:rPr>
              <w:t>44.570,74</w:t>
            </w:r>
          </w:p>
        </w:tc>
        <w:tc>
          <w:tcPr>
            <w:tcW w:w="700" w:type="dxa"/>
            <w:tcMar>
              <w:top w:w="0" w:type="dxa"/>
              <w:bottom w:w="0" w:type="dxa"/>
            </w:tcMar>
            <w:vAlign w:val="center"/>
          </w:tcPr>
          <w:p w:rsidR="00367D6F" w:rsidRDefault="006D29F0">
            <w:pPr>
              <w:keepNext/>
              <w:keepLines/>
              <w:spacing w:after="0" w:line="240" w:lineRule="auto"/>
              <w:jc w:val="right"/>
            </w:pPr>
            <w:r>
              <w:rPr>
                <w:sz w:val="18"/>
              </w:rPr>
              <w:t>223,9</w:t>
            </w:r>
          </w:p>
        </w:tc>
      </w:tr>
    </w:tbl>
    <w:p w:rsidR="00367D6F" w:rsidRDefault="00367D6F">
      <w:pPr>
        <w:spacing w:after="0"/>
      </w:pPr>
    </w:p>
    <w:p w:rsidR="00367D6F" w:rsidRDefault="006D29F0">
      <w:r>
        <w:t>Potraživanja za prihode iz proračuna su veća od ostvarenih 2024. godine radi ostvarenih većih vlastitih prihoda.</w:t>
      </w:r>
    </w:p>
    <w:p w:rsidR="00367D6F" w:rsidRDefault="00367D6F"/>
    <w:p w:rsidR="00367D6F" w:rsidRDefault="006D29F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27212</w:t>
            </w:r>
          </w:p>
        </w:tc>
        <w:tc>
          <w:tcPr>
            <w:tcW w:w="3180" w:type="dxa"/>
            <w:tcMar>
              <w:top w:w="0" w:type="dxa"/>
              <w:bottom w:w="0" w:type="dxa"/>
            </w:tcMar>
            <w:vAlign w:val="center"/>
          </w:tcPr>
          <w:p w:rsidR="00367D6F" w:rsidRDefault="006D29F0">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rsidR="00367D6F" w:rsidRDefault="006D29F0">
            <w:pPr>
              <w:keepNext/>
              <w:keepLines/>
              <w:spacing w:after="0" w:line="240" w:lineRule="auto"/>
            </w:pPr>
            <w:r>
              <w:rPr>
                <w:sz w:val="18"/>
              </w:rPr>
              <w:t>27212</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1.000,00</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Na ovoj poziciji nalazi se obveza za povrat jamstva za ozbiljnost ponude u postupku javne nabave.</w:t>
      </w:r>
    </w:p>
    <w:p w:rsidR="00367D6F" w:rsidRDefault="00367D6F"/>
    <w:p w:rsidR="00367D6F" w:rsidRDefault="006D29F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27521</w:t>
            </w:r>
          </w:p>
        </w:tc>
        <w:tc>
          <w:tcPr>
            <w:tcW w:w="3180" w:type="dxa"/>
            <w:tcMar>
              <w:top w:w="0" w:type="dxa"/>
              <w:bottom w:w="0" w:type="dxa"/>
            </w:tcMar>
            <w:vAlign w:val="center"/>
          </w:tcPr>
          <w:p w:rsidR="00367D6F" w:rsidRDefault="006D29F0">
            <w:pPr>
              <w:keepNext/>
              <w:keepLines/>
              <w:spacing w:after="0" w:line="240" w:lineRule="auto"/>
            </w:pPr>
            <w:r>
              <w:rPr>
                <w:sz w:val="18"/>
              </w:rPr>
              <w:t>Obveze za EU predujmove dane iz državnog proračuna</w:t>
            </w:r>
          </w:p>
        </w:tc>
        <w:tc>
          <w:tcPr>
            <w:tcW w:w="700" w:type="dxa"/>
            <w:tcMar>
              <w:top w:w="0" w:type="dxa"/>
              <w:bottom w:w="0" w:type="dxa"/>
            </w:tcMar>
            <w:vAlign w:val="center"/>
          </w:tcPr>
          <w:p w:rsidR="00367D6F" w:rsidRDefault="006D29F0">
            <w:pPr>
              <w:keepNext/>
              <w:keepLines/>
              <w:spacing w:after="0" w:line="240" w:lineRule="auto"/>
            </w:pPr>
            <w:r>
              <w:rPr>
                <w:sz w:val="18"/>
              </w:rPr>
              <w:t>27521</w:t>
            </w:r>
          </w:p>
        </w:tc>
        <w:tc>
          <w:tcPr>
            <w:tcW w:w="1860" w:type="dxa"/>
            <w:tcMar>
              <w:top w:w="0" w:type="dxa"/>
              <w:bottom w:w="0" w:type="dxa"/>
            </w:tcMar>
            <w:vAlign w:val="center"/>
          </w:tcPr>
          <w:p w:rsidR="00367D6F" w:rsidRDefault="006D29F0">
            <w:pPr>
              <w:keepNext/>
              <w:keepLines/>
              <w:spacing w:after="0" w:line="240" w:lineRule="auto"/>
              <w:jc w:val="right"/>
            </w:pPr>
            <w:r>
              <w:rPr>
                <w:sz w:val="18"/>
              </w:rPr>
              <w:t>0,00</w:t>
            </w:r>
          </w:p>
        </w:tc>
        <w:tc>
          <w:tcPr>
            <w:tcW w:w="1860" w:type="dxa"/>
            <w:tcMar>
              <w:top w:w="0" w:type="dxa"/>
              <w:bottom w:w="0" w:type="dxa"/>
            </w:tcMar>
            <w:vAlign w:val="center"/>
          </w:tcPr>
          <w:p w:rsidR="00367D6F" w:rsidRDefault="006D29F0">
            <w:pPr>
              <w:keepNext/>
              <w:keepLines/>
              <w:spacing w:after="0" w:line="240" w:lineRule="auto"/>
              <w:jc w:val="right"/>
            </w:pPr>
            <w:r>
              <w:rPr>
                <w:sz w:val="18"/>
              </w:rPr>
              <w:t>19.878,92</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 xml:space="preserve">Pozicija uključuje predujam za provođenje projekta </w:t>
      </w:r>
      <w:proofErr w:type="spellStart"/>
      <w:r>
        <w:t>Rinkluzija</w:t>
      </w:r>
      <w:proofErr w:type="spellEnd"/>
      <w:r>
        <w:t xml:space="preserve"> 8.</w:t>
      </w:r>
    </w:p>
    <w:p w:rsidR="00367D6F" w:rsidRDefault="00367D6F"/>
    <w:p w:rsidR="00367D6F" w:rsidRDefault="006D29F0">
      <w:pPr>
        <w:keepNext/>
        <w:spacing w:line="240" w:lineRule="auto"/>
        <w:jc w:val="center"/>
      </w:pPr>
      <w:r>
        <w:rPr>
          <w:b/>
          <w:sz w:val="28"/>
        </w:rPr>
        <w:t>Izvještaj o rashodima prema funkcijskoj klasifikaciji</w:t>
      </w:r>
    </w:p>
    <w:p w:rsidR="00367D6F" w:rsidRDefault="006D29F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6D29F0">
            <w:pPr>
              <w:keepNext/>
              <w:keepLines/>
              <w:spacing w:after="0" w:line="240" w:lineRule="auto"/>
            </w:pPr>
            <w:r>
              <w:rPr>
                <w:sz w:val="18"/>
              </w:rPr>
              <w:t>096</w:t>
            </w:r>
          </w:p>
        </w:tc>
        <w:tc>
          <w:tcPr>
            <w:tcW w:w="3180" w:type="dxa"/>
            <w:tcMar>
              <w:top w:w="0" w:type="dxa"/>
              <w:bottom w:w="0" w:type="dxa"/>
            </w:tcMar>
            <w:vAlign w:val="center"/>
          </w:tcPr>
          <w:p w:rsidR="00367D6F" w:rsidRDefault="006D29F0">
            <w:pPr>
              <w:keepNext/>
              <w:keepLines/>
              <w:spacing w:after="0" w:line="240" w:lineRule="auto"/>
            </w:pPr>
            <w:r>
              <w:rPr>
                <w:sz w:val="18"/>
              </w:rPr>
              <w:t>Dodatne usluge u obrazovanju</w:t>
            </w:r>
          </w:p>
        </w:tc>
        <w:tc>
          <w:tcPr>
            <w:tcW w:w="700" w:type="dxa"/>
            <w:tcMar>
              <w:top w:w="0" w:type="dxa"/>
              <w:bottom w:w="0" w:type="dxa"/>
            </w:tcMar>
            <w:vAlign w:val="center"/>
          </w:tcPr>
          <w:p w:rsidR="00367D6F" w:rsidRDefault="006D29F0">
            <w:pPr>
              <w:keepNext/>
              <w:keepLines/>
              <w:spacing w:after="0" w:line="240" w:lineRule="auto"/>
            </w:pPr>
            <w:r>
              <w:rPr>
                <w:sz w:val="18"/>
              </w:rPr>
              <w:t>096</w:t>
            </w:r>
          </w:p>
        </w:tc>
        <w:tc>
          <w:tcPr>
            <w:tcW w:w="1860" w:type="dxa"/>
            <w:tcMar>
              <w:top w:w="0" w:type="dxa"/>
              <w:bottom w:w="0" w:type="dxa"/>
            </w:tcMar>
            <w:vAlign w:val="center"/>
          </w:tcPr>
          <w:p w:rsidR="00367D6F" w:rsidRDefault="006D29F0">
            <w:pPr>
              <w:keepNext/>
              <w:keepLines/>
              <w:spacing w:after="0" w:line="240" w:lineRule="auto"/>
              <w:jc w:val="right"/>
            </w:pPr>
            <w:r>
              <w:rPr>
                <w:sz w:val="18"/>
              </w:rPr>
              <w:t>99.861,66</w:t>
            </w:r>
          </w:p>
        </w:tc>
        <w:tc>
          <w:tcPr>
            <w:tcW w:w="1860" w:type="dxa"/>
            <w:tcMar>
              <w:top w:w="0" w:type="dxa"/>
              <w:bottom w:w="0" w:type="dxa"/>
            </w:tcMar>
            <w:vAlign w:val="center"/>
          </w:tcPr>
          <w:p w:rsidR="00367D6F" w:rsidRDefault="006D29F0">
            <w:pPr>
              <w:keepNext/>
              <w:keepLines/>
              <w:spacing w:after="0" w:line="240" w:lineRule="auto"/>
              <w:jc w:val="right"/>
            </w:pPr>
            <w:r>
              <w:rPr>
                <w:sz w:val="18"/>
              </w:rPr>
              <w:t>86.466,95</w:t>
            </w:r>
          </w:p>
        </w:tc>
        <w:tc>
          <w:tcPr>
            <w:tcW w:w="700" w:type="dxa"/>
            <w:tcMar>
              <w:top w:w="0" w:type="dxa"/>
              <w:bottom w:w="0" w:type="dxa"/>
            </w:tcMar>
            <w:vAlign w:val="center"/>
          </w:tcPr>
          <w:p w:rsidR="00367D6F" w:rsidRDefault="006D29F0">
            <w:pPr>
              <w:keepNext/>
              <w:keepLines/>
              <w:spacing w:after="0" w:line="240" w:lineRule="auto"/>
              <w:jc w:val="right"/>
            </w:pPr>
            <w:r>
              <w:rPr>
                <w:sz w:val="18"/>
              </w:rPr>
              <w:t>86,6</w:t>
            </w:r>
          </w:p>
        </w:tc>
      </w:tr>
    </w:tbl>
    <w:p w:rsidR="00367D6F" w:rsidRDefault="00367D6F">
      <w:pPr>
        <w:spacing w:after="0"/>
      </w:pPr>
    </w:p>
    <w:p w:rsidR="00367D6F" w:rsidRDefault="006D29F0">
      <w:r>
        <w:t xml:space="preserve">Škola je tijekom 2025. godine ostvarila rashode za nabavu namirnica za školsku marendu i užinu i pripremu i dostavu školskih </w:t>
      </w:r>
      <w:proofErr w:type="spellStart"/>
      <w:r>
        <w:t>ručkova</w:t>
      </w:r>
      <w:proofErr w:type="spellEnd"/>
      <w:r>
        <w:t xml:space="preserve"> u iznosu od 86.466,95 eura. Ostvareni rashodi su manji u odnosu na 2024. godinu radi provedenog postupak javne nabave namirnica za marendu od strane Grada Rijeke čime je postignuta niža cijena namirnica.</w:t>
      </w:r>
    </w:p>
    <w:p w:rsidR="00367D6F" w:rsidRDefault="00367D6F"/>
    <w:p w:rsidR="00367D6F" w:rsidRDefault="006D29F0">
      <w:pPr>
        <w:keepNext/>
        <w:spacing w:line="240" w:lineRule="auto"/>
        <w:jc w:val="center"/>
      </w:pPr>
      <w:r>
        <w:rPr>
          <w:b/>
          <w:sz w:val="28"/>
        </w:rPr>
        <w:t>Izvještaj o obvezama</w:t>
      </w:r>
    </w:p>
    <w:p w:rsidR="00367D6F" w:rsidRDefault="006D29F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367D6F" w:rsidRDefault="006D29F0">
            <w:pPr>
              <w:keepNext/>
              <w:keepLines/>
              <w:spacing w:after="0" w:line="240" w:lineRule="auto"/>
            </w:pPr>
            <w:r>
              <w:rPr>
                <w:sz w:val="18"/>
              </w:rPr>
              <w:t>V007</w:t>
            </w:r>
          </w:p>
        </w:tc>
        <w:tc>
          <w:tcPr>
            <w:tcW w:w="1860" w:type="dxa"/>
            <w:tcMar>
              <w:top w:w="0" w:type="dxa"/>
              <w:bottom w:w="0" w:type="dxa"/>
            </w:tcMar>
            <w:vAlign w:val="center"/>
          </w:tcPr>
          <w:p w:rsidR="00367D6F" w:rsidRDefault="006D29F0">
            <w:pPr>
              <w:keepNext/>
              <w:keepLines/>
              <w:spacing w:after="0" w:line="240" w:lineRule="auto"/>
              <w:jc w:val="right"/>
            </w:pPr>
            <w:r>
              <w:rPr>
                <w:sz w:val="18"/>
              </w:rPr>
              <w:t>761,69</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Dospjele obveze na kraju izvještajnog razdoblja iznose 761,69 eura i sastoje se od obveza za usluge telefona, pošte i prijevoza u iznosu od 36,80 eura, obveza za ostale rashode u iznosu od 401,54 eura i obveza za nabavu dugotrajne imovine u iznosu od 323,35 eura.</w:t>
      </w:r>
    </w:p>
    <w:p w:rsidR="00367D6F" w:rsidRDefault="00367D6F"/>
    <w:p w:rsidR="00367D6F" w:rsidRDefault="006D29F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67D6F">
        <w:trPr>
          <w:cantSplit/>
        </w:trPr>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67D6F" w:rsidRDefault="006D29F0">
            <w:pPr>
              <w:keepNext/>
              <w:keepLines/>
              <w:spacing w:after="0" w:line="240" w:lineRule="auto"/>
              <w:jc w:val="center"/>
            </w:pPr>
            <w:r>
              <w:rPr>
                <w:b/>
                <w:sz w:val="18"/>
              </w:rPr>
              <w:t>Indeks (%)</w:t>
            </w:r>
          </w:p>
        </w:tc>
      </w:tr>
      <w:tr w:rsidR="00367D6F">
        <w:trPr>
          <w:cantSplit/>
          <w:trHeight w:val="560"/>
        </w:trPr>
        <w:tc>
          <w:tcPr>
            <w:tcW w:w="700" w:type="dxa"/>
            <w:tcMar>
              <w:top w:w="0" w:type="dxa"/>
              <w:bottom w:w="0" w:type="dxa"/>
            </w:tcMar>
            <w:vAlign w:val="center"/>
          </w:tcPr>
          <w:p w:rsidR="00367D6F" w:rsidRDefault="00367D6F">
            <w:pPr>
              <w:keepNext/>
              <w:keepLines/>
              <w:spacing w:after="0" w:line="240" w:lineRule="auto"/>
            </w:pPr>
          </w:p>
        </w:tc>
        <w:tc>
          <w:tcPr>
            <w:tcW w:w="3180" w:type="dxa"/>
            <w:tcMar>
              <w:top w:w="0" w:type="dxa"/>
              <w:bottom w:w="0" w:type="dxa"/>
            </w:tcMar>
            <w:vAlign w:val="center"/>
          </w:tcPr>
          <w:p w:rsidR="00367D6F" w:rsidRDefault="006D29F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367D6F" w:rsidRDefault="006D29F0">
            <w:pPr>
              <w:keepNext/>
              <w:keepLines/>
              <w:spacing w:after="0" w:line="240" w:lineRule="auto"/>
            </w:pPr>
            <w:r>
              <w:rPr>
                <w:sz w:val="18"/>
              </w:rPr>
              <w:t>V009</w:t>
            </w:r>
          </w:p>
        </w:tc>
        <w:tc>
          <w:tcPr>
            <w:tcW w:w="1860" w:type="dxa"/>
            <w:tcMar>
              <w:top w:w="0" w:type="dxa"/>
              <w:bottom w:w="0" w:type="dxa"/>
            </w:tcMar>
            <w:vAlign w:val="center"/>
          </w:tcPr>
          <w:p w:rsidR="00367D6F" w:rsidRDefault="006D29F0">
            <w:pPr>
              <w:keepNext/>
              <w:keepLines/>
              <w:spacing w:after="0" w:line="240" w:lineRule="auto"/>
              <w:jc w:val="right"/>
            </w:pPr>
            <w:r>
              <w:rPr>
                <w:sz w:val="18"/>
              </w:rPr>
              <w:t>148.676,49</w:t>
            </w:r>
          </w:p>
        </w:tc>
        <w:tc>
          <w:tcPr>
            <w:tcW w:w="700" w:type="dxa"/>
            <w:tcMar>
              <w:top w:w="0" w:type="dxa"/>
              <w:bottom w:w="0" w:type="dxa"/>
            </w:tcMar>
            <w:vAlign w:val="center"/>
          </w:tcPr>
          <w:p w:rsidR="00367D6F" w:rsidRDefault="006D29F0">
            <w:pPr>
              <w:keepNext/>
              <w:keepLines/>
              <w:spacing w:after="0" w:line="240" w:lineRule="auto"/>
              <w:jc w:val="right"/>
            </w:pPr>
            <w:r>
              <w:rPr>
                <w:sz w:val="18"/>
              </w:rPr>
              <w:t>-</w:t>
            </w:r>
          </w:p>
        </w:tc>
      </w:tr>
    </w:tbl>
    <w:p w:rsidR="00367D6F" w:rsidRDefault="00367D6F">
      <w:pPr>
        <w:spacing w:after="0"/>
      </w:pPr>
    </w:p>
    <w:p w:rsidR="00367D6F" w:rsidRDefault="006D29F0">
      <w:r>
        <w:t xml:space="preserve">Nedospjele obveze na kraju izvještajnog razdoblja iznose 148.676,49 eura i sastoje se od međusobnih obveza subjekata općeg proračuna u iznosu od 5.251,16 eura, obveza za zaposlene u iznosu od 102.289,84 eura, obveza za naknade troškova zaposlenima u iznosu od 2.416,24 eura, obveza za rashode za materijal i energiju u iznosu od 11.323,76 eura, rashoda za usluge u iznosu od 6.274,34 eura, obveza za ostale nespomenute rashode poslovanja u iznosu od 194,00 eura, obveza za ostale financijske rashode u iznosu od 2,75 eura, ostalih tekućih obveza u iznosu od 45,48 eura, obveza za </w:t>
      </w:r>
      <w:proofErr w:type="spellStart"/>
      <w:r>
        <w:t>jamčevne</w:t>
      </w:r>
      <w:proofErr w:type="spellEnd"/>
      <w:r>
        <w:t xml:space="preserve"> </w:t>
      </w:r>
      <w:proofErr w:type="spellStart"/>
      <w:r>
        <w:t>pologe</w:t>
      </w:r>
      <w:proofErr w:type="spellEnd"/>
      <w:r>
        <w:t xml:space="preserve"> u iznosu od 1.000,00 eura i obveza za EU predujmove u iznosu od 19.878,92 eura.</w:t>
      </w:r>
    </w:p>
    <w:p w:rsidR="00367D6F" w:rsidRDefault="00367D6F"/>
    <w:p w:rsidR="006D29F0" w:rsidRDefault="006D29F0"/>
    <w:p w:rsidR="00367D6F" w:rsidRDefault="006D29F0">
      <w:pPr>
        <w:keepNext/>
        <w:spacing w:line="240" w:lineRule="auto"/>
        <w:jc w:val="center"/>
      </w:pPr>
      <w:r>
        <w:rPr>
          <w:sz w:val="28"/>
        </w:rPr>
        <w:t>Bilješka 83.</w:t>
      </w:r>
    </w:p>
    <w:p w:rsidR="00367D6F" w:rsidRDefault="006D29F0">
      <w:pPr>
        <w:spacing w:line="240" w:lineRule="auto"/>
        <w:jc w:val="both"/>
      </w:pPr>
      <w:r>
        <w:rPr>
          <w:b/>
        </w:rPr>
        <w:t>EU izvještaj</w:t>
      </w:r>
    </w:p>
    <w:p w:rsidR="00367D6F" w:rsidRDefault="006D29F0">
      <w:r>
        <w:t>Škola sudjeluje u projektu Pomoćnici u nastavi  koji se financira iz  Europskog socijalnog fonda+. U okviru projekta ukupni rashodi su iznosili 26.578,07 eura, a ukupni prihodi 24.032,31 euro. Obveze za EU predujmove dane iz državnog proračuna iznose 19.878,92 eura.</w:t>
      </w:r>
    </w:p>
    <w:p w:rsidR="00367D6F" w:rsidRDefault="00367D6F"/>
    <w:sectPr w:rsidR="00367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6F"/>
    <w:rsid w:val="002B2744"/>
    <w:rsid w:val="00367D6F"/>
    <w:rsid w:val="006D29F0"/>
    <w:rsid w:val="00815A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1700C-0469-4EEB-BAFA-65A67338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8014</Words>
  <Characters>45680</Characters>
  <Application>Microsoft Office Word</Application>
  <DocSecurity>0</DocSecurity>
  <Lines>380</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Danijela Jurčić</cp:lastModifiedBy>
  <cp:revision>2</cp:revision>
  <dcterms:created xsi:type="dcterms:W3CDTF">2026-02-03T10:35:00Z</dcterms:created>
  <dcterms:modified xsi:type="dcterms:W3CDTF">2026-02-03T10:35:00Z</dcterms:modified>
</cp:coreProperties>
</file>